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10CD" w14:textId="77777777" w:rsidR="00F709F6" w:rsidRDefault="00F709F6" w:rsidP="00F709F6">
      <w:pPr>
        <w:jc w:val="center"/>
        <w:rPr>
          <w:rFonts w:eastAsia="Noto Sans CJK SC Regular" w:cs="FreeSans"/>
          <w:b/>
          <w:bCs/>
          <w:kern w:val="2"/>
          <w:lang w:eastAsia="zh-CN" w:bidi="hi-IN"/>
        </w:rPr>
      </w:pPr>
      <w:r w:rsidRPr="00040349">
        <w:rPr>
          <w:rFonts w:eastAsia="Noto Sans CJK SC Regular" w:cs="FreeSans"/>
          <w:b/>
          <w:bCs/>
          <w:kern w:val="2"/>
          <w:lang w:eastAsia="zh-CN" w:bidi="hi-IN"/>
        </w:rPr>
        <w:t xml:space="preserve">Tiszakécske Város Önkormányzata Képviselő-testületének </w:t>
      </w:r>
    </w:p>
    <w:p w14:paraId="3B286469" w14:textId="4D81CAE9" w:rsidR="00F709F6" w:rsidRPr="00040349" w:rsidRDefault="00F709F6" w:rsidP="00F709F6">
      <w:pPr>
        <w:jc w:val="center"/>
        <w:rPr>
          <w:rFonts w:eastAsia="Noto Sans CJK SC Regular" w:cs="FreeSans"/>
          <w:b/>
          <w:bCs/>
          <w:kern w:val="2"/>
          <w:lang w:eastAsia="zh-CN" w:bidi="hi-IN"/>
        </w:rPr>
      </w:pPr>
      <w:r>
        <w:rPr>
          <w:rFonts w:eastAsia="Noto Sans CJK SC Regular" w:cs="FreeSans"/>
          <w:b/>
          <w:bCs/>
          <w:kern w:val="2"/>
          <w:lang w:eastAsia="zh-CN" w:bidi="hi-IN"/>
        </w:rPr>
        <w:t>19/2022. (IX.29.)</w:t>
      </w:r>
      <w:r w:rsidRPr="00040349">
        <w:rPr>
          <w:rFonts w:eastAsia="Noto Sans CJK SC Regular" w:cs="FreeSans"/>
          <w:b/>
          <w:bCs/>
          <w:kern w:val="2"/>
          <w:lang w:eastAsia="zh-CN" w:bidi="hi-IN"/>
        </w:rPr>
        <w:t xml:space="preserve"> önkormányzati rendelete</w:t>
      </w:r>
    </w:p>
    <w:p w14:paraId="17A0E51E" w14:textId="77777777" w:rsidR="00F709F6" w:rsidRDefault="00F709F6" w:rsidP="00F709F6">
      <w:pPr>
        <w:pStyle w:val="Szvegtrzs"/>
        <w:spacing w:after="0"/>
        <w:jc w:val="center"/>
        <w:rPr>
          <w:b/>
          <w:bCs/>
        </w:rPr>
      </w:pPr>
      <w:r>
        <w:rPr>
          <w:b/>
          <w:bCs/>
        </w:rPr>
        <w:t>a közterületek elnevezéséről, az elnevezésük megváltoztatására irányuló kezdeményezésről, valamint a házszám megállapításának szabályairól</w:t>
      </w:r>
    </w:p>
    <w:p w14:paraId="128262A1" w14:textId="77777777" w:rsidR="00F709F6" w:rsidRDefault="00F709F6" w:rsidP="00F709F6">
      <w:pPr>
        <w:pStyle w:val="Szvegtrzs"/>
        <w:spacing w:before="220" w:after="0"/>
        <w:jc w:val="both"/>
      </w:pPr>
      <w:r>
        <w:t>Tiszakécske Város Önkormányzata Képviselő-testülete a Magyarország helyi önkormányzatairól szóló 2011. évi CLXXXIX. törvény 51. § (5) bekezdésében és 143. § (3) bekezdésében kapott felhatalmazás alapján, az Alaptörvény 32. cikk (1) bekezdés</w:t>
      </w:r>
      <w:r>
        <w:rPr>
          <w:i/>
          <w:iCs/>
        </w:rPr>
        <w:t xml:space="preserve"> a)</w:t>
      </w:r>
      <w:r>
        <w:t xml:space="preserve"> pontjában, valamint a Magyarország helyi önkormányzatairól szóló 2011. évi CLXXXIX. törvény 13. § (1) bekezdés 3. pontjában meghatározott feladatkörében eljárva, a 7. alcím tekintetében az Alaptörvény 32. cikk (2) bekezdésében meghatározott eredeti jogalkotói hatáskörében, az Alaptörvény 32. cikk (1) bekezdés a) pontjában meghatározott feladatkörében eljárva, Tiszakécske Város Önkormányzata Képviselő-testületének a Tiszakécske Város Önkormányzata Képviselő-testületének Szervezeti és Működési Szabályzatáról szóló 23/2019. (XI.01.) önkormányzati rendelet 4. melléklet 1.1.21. pontjában biztosított véleményezési jogkörében eljáró Pénzügyi, Vagyonhasznosító és Településfejlesztési Bizottság, és Tiszakécske Város Önkormányzata Képviselő-testületének a Tiszakécske Város Önkormányzata Képviselő-testületének Szervezeti és Működési Szabályzatáról szóló 23/2019. (XI.01.) önkormányzati rendelet 4. melléklet 2.1. pontjában biztosított véleményezési jogkörében eljáró Oktatási, Kulturális és Sport Bizottság véleményének kikérésével a következőket rendeli el:</w:t>
      </w:r>
    </w:p>
    <w:p w14:paraId="2F0E6CD7" w14:textId="77777777" w:rsidR="00F709F6" w:rsidRDefault="00F709F6" w:rsidP="00F709F6">
      <w:pPr>
        <w:pStyle w:val="Szvegtrzs"/>
        <w:spacing w:before="280" w:after="0"/>
        <w:jc w:val="center"/>
        <w:rPr>
          <w:b/>
          <w:bCs/>
        </w:rPr>
      </w:pPr>
      <w:r>
        <w:rPr>
          <w:b/>
          <w:bCs/>
        </w:rPr>
        <w:t>1. Általános rendelkezések</w:t>
      </w:r>
    </w:p>
    <w:p w14:paraId="57725057" w14:textId="77777777" w:rsidR="00F709F6" w:rsidRDefault="00F709F6" w:rsidP="00F709F6">
      <w:pPr>
        <w:pStyle w:val="Szvegtrzs"/>
        <w:spacing w:before="240" w:after="240"/>
        <w:jc w:val="center"/>
        <w:rPr>
          <w:b/>
          <w:bCs/>
        </w:rPr>
      </w:pPr>
      <w:r>
        <w:rPr>
          <w:b/>
          <w:bCs/>
        </w:rPr>
        <w:t>1. §</w:t>
      </w:r>
    </w:p>
    <w:p w14:paraId="57810A72" w14:textId="77777777" w:rsidR="00F709F6" w:rsidRDefault="00F709F6" w:rsidP="00F709F6">
      <w:pPr>
        <w:pStyle w:val="Szvegtrzs"/>
        <w:spacing w:after="0"/>
        <w:jc w:val="both"/>
      </w:pPr>
      <w:r>
        <w:t>(1) A rendelet célja, hogy Tiszakécske város közterületei elnevezésének, a házszám megállapításának egységes rendjét, ezáltal a megfelelő tájékozódást biztosítsa, ennek során a területek beazonosíthatósága érdekében érvényre juttassa a helyi sajátosságokat, illetve az igazgatási, földrajzi, történelmi, közlekedési és nyelvhelyességi szempontokat.</w:t>
      </w:r>
    </w:p>
    <w:p w14:paraId="0C7AA663" w14:textId="77777777" w:rsidR="00F709F6" w:rsidRDefault="00F709F6" w:rsidP="00F709F6">
      <w:pPr>
        <w:pStyle w:val="Szvegtrzs"/>
        <w:spacing w:before="240" w:after="0"/>
        <w:jc w:val="both"/>
      </w:pPr>
      <w:r>
        <w:t>(2) A városban új közterületet elnevezni, a korábban megállapított közterületnevet megváltoztatni, az ingatlanok házszámát megállapítani, közterületnév- és házszámtáblát elhelyezni e rendelet szabályai szerint lehet.</w:t>
      </w:r>
    </w:p>
    <w:p w14:paraId="584DD7D0" w14:textId="77777777" w:rsidR="00F709F6" w:rsidRDefault="00F709F6" w:rsidP="00F709F6">
      <w:pPr>
        <w:pStyle w:val="Szvegtrzs"/>
        <w:spacing w:before="240" w:after="240"/>
        <w:jc w:val="center"/>
        <w:rPr>
          <w:b/>
          <w:bCs/>
        </w:rPr>
      </w:pPr>
      <w:r>
        <w:rPr>
          <w:b/>
          <w:bCs/>
        </w:rPr>
        <w:t>2. §</w:t>
      </w:r>
    </w:p>
    <w:p w14:paraId="3D5D3B14" w14:textId="77777777" w:rsidR="00F709F6" w:rsidRDefault="00F709F6" w:rsidP="00F709F6">
      <w:pPr>
        <w:pStyle w:val="Szvegtrzs"/>
        <w:spacing w:after="0"/>
        <w:jc w:val="both"/>
      </w:pPr>
      <w:r>
        <w:t>E rendelet alkalmazásában:</w:t>
      </w:r>
    </w:p>
    <w:p w14:paraId="3CB0330D" w14:textId="77777777" w:rsidR="00F709F6" w:rsidRDefault="00F709F6" w:rsidP="00F709F6">
      <w:pPr>
        <w:pStyle w:val="Szvegtrzs"/>
        <w:spacing w:after="0"/>
        <w:ind w:left="580" w:hanging="560"/>
        <w:jc w:val="both"/>
      </w:pPr>
      <w:r>
        <w:rPr>
          <w:i/>
          <w:iCs/>
        </w:rPr>
        <w:t>1.</w:t>
      </w:r>
      <w:r>
        <w:tab/>
      </w:r>
      <w:r>
        <w:rPr>
          <w:b/>
          <w:bCs/>
        </w:rPr>
        <w:t>Házszám:</w:t>
      </w:r>
      <w:r>
        <w:t xml:space="preserve"> olyan számmal, szám és betű kombinációjával meghatározott azonosító jel, amely az ingatlan-nyilvántartásban helyrajzi számmal jelölt ingatlanhoz tartozik, és amely az ingatlan térbeli beazonosítását szolgálja.</w:t>
      </w:r>
    </w:p>
    <w:p w14:paraId="4EA349D2" w14:textId="77777777" w:rsidR="00F709F6" w:rsidRDefault="00F709F6" w:rsidP="00F709F6">
      <w:pPr>
        <w:pStyle w:val="Szvegtrzs"/>
        <w:spacing w:after="0"/>
        <w:ind w:left="580" w:hanging="560"/>
        <w:jc w:val="both"/>
      </w:pPr>
      <w:r>
        <w:rPr>
          <w:i/>
          <w:iCs/>
        </w:rPr>
        <w:t>2.</w:t>
      </w:r>
      <w:r>
        <w:tab/>
      </w:r>
      <w:r>
        <w:rPr>
          <w:b/>
          <w:bCs/>
        </w:rPr>
        <w:t>Közterület:</w:t>
      </w:r>
      <w:r>
        <w:t xml:space="preserve"> az épített környezet alakításáról és védelméről szóló 1997. évi LXXVIII. törvény 2. § 13. pontjában meghatározott terület. </w:t>
      </w:r>
    </w:p>
    <w:p w14:paraId="6953DDCB" w14:textId="77777777" w:rsidR="00F709F6" w:rsidRDefault="00F709F6" w:rsidP="00F709F6">
      <w:pPr>
        <w:pStyle w:val="Szvegtrzs"/>
        <w:spacing w:after="0"/>
        <w:ind w:left="580" w:hanging="560"/>
        <w:jc w:val="both"/>
      </w:pPr>
      <w:r>
        <w:rPr>
          <w:i/>
          <w:iCs/>
        </w:rPr>
        <w:t>3.</w:t>
      </w:r>
      <w:r>
        <w:tab/>
      </w:r>
      <w:r>
        <w:rPr>
          <w:b/>
          <w:bCs/>
        </w:rPr>
        <w:t>Közterületnév:</w:t>
      </w:r>
      <w:r>
        <w:t xml:space="preserve"> a magyarországi hivatalos földrajzi nevek megállapításáról és nyilvántartásáról szóló 303/2007. (XI.14.) Korm. rendelet 2. § (3) bekezdés j) pontjában meghatározottak.</w:t>
      </w:r>
    </w:p>
    <w:p w14:paraId="5170B326" w14:textId="77777777" w:rsidR="00F709F6" w:rsidRDefault="00F709F6" w:rsidP="00F709F6">
      <w:pPr>
        <w:pStyle w:val="Szvegtrzs"/>
        <w:spacing w:after="0"/>
        <w:ind w:left="580" w:hanging="560"/>
        <w:jc w:val="both"/>
      </w:pPr>
      <w:r>
        <w:rPr>
          <w:i/>
          <w:iCs/>
        </w:rPr>
        <w:t>4.</w:t>
      </w:r>
      <w:r>
        <w:tab/>
      </w:r>
      <w:r>
        <w:rPr>
          <w:b/>
          <w:bCs/>
        </w:rPr>
        <w:t xml:space="preserve">Közterület elnevezése: </w:t>
      </w:r>
      <w:r>
        <w:t>Tiszakécske város területén található közterületek földrajzi azonosítására, a tájékozódás biztosítására szolgáló megjelölés. Előtagként közterületnévből (különösen személynév, állat, növény, fogalom, tárgy) utótagként a közterület jellegének meghatározásából áll.</w:t>
      </w:r>
    </w:p>
    <w:p w14:paraId="6B95A30D" w14:textId="77777777" w:rsidR="00F709F6" w:rsidRDefault="00F709F6" w:rsidP="00F709F6">
      <w:pPr>
        <w:pStyle w:val="Szvegtrzs"/>
        <w:spacing w:after="0"/>
        <w:ind w:left="580" w:hanging="560"/>
        <w:jc w:val="both"/>
      </w:pPr>
      <w:r>
        <w:rPr>
          <w:i/>
          <w:iCs/>
        </w:rPr>
        <w:lastRenderedPageBreak/>
        <w:t>5.</w:t>
      </w:r>
      <w:r>
        <w:tab/>
      </w:r>
      <w:r>
        <w:rPr>
          <w:b/>
          <w:bCs/>
        </w:rPr>
        <w:t>Településrésznév (helységrésznév):</w:t>
      </w:r>
      <w:r>
        <w:t xml:space="preserve"> a magyarországi hivatalos földrajzi nevek megállapításáról és nyilvántartásáról szóló 303/2007. (XI.14.) Korm. rendelet 2. § (3) bekezdés i) pontjában meghatározottak.</w:t>
      </w:r>
    </w:p>
    <w:p w14:paraId="669D194A" w14:textId="77777777" w:rsidR="00F709F6" w:rsidRDefault="00F709F6" w:rsidP="00F709F6">
      <w:pPr>
        <w:pStyle w:val="Szvegtrzs"/>
        <w:spacing w:before="280" w:after="0"/>
        <w:jc w:val="center"/>
        <w:rPr>
          <w:b/>
          <w:bCs/>
        </w:rPr>
      </w:pPr>
      <w:r>
        <w:rPr>
          <w:b/>
          <w:bCs/>
        </w:rPr>
        <w:t>2. A közterület elnevezésének általános szabályai</w:t>
      </w:r>
    </w:p>
    <w:p w14:paraId="33E0178E" w14:textId="77777777" w:rsidR="00F709F6" w:rsidRDefault="00F709F6" w:rsidP="00F709F6">
      <w:pPr>
        <w:pStyle w:val="Szvegtrzs"/>
        <w:spacing w:before="240" w:after="240"/>
        <w:jc w:val="center"/>
        <w:rPr>
          <w:b/>
          <w:bCs/>
        </w:rPr>
      </w:pPr>
      <w:r>
        <w:rPr>
          <w:b/>
          <w:bCs/>
        </w:rPr>
        <w:t>3. §</w:t>
      </w:r>
    </w:p>
    <w:p w14:paraId="36F47D1A" w14:textId="77777777" w:rsidR="00F709F6" w:rsidRDefault="00F709F6" w:rsidP="00F709F6">
      <w:pPr>
        <w:pStyle w:val="Szvegtrzs"/>
        <w:spacing w:after="0"/>
        <w:jc w:val="both"/>
      </w:pPr>
      <w:r>
        <w:t>(1) A közterületnév előtagból - különösen személynév, állat, növény, fogalom, tárgy - és utótagból áll. A közterületnevek utótagjait a központi címregiszterről és a címkezelésről szóló 345/2014. (XII.23.) Korm. rendelet (továbbiakban: KCR rendelet) 1. melléklet B oszlopa tartalmazza.</w:t>
      </w:r>
    </w:p>
    <w:p w14:paraId="5C70121B" w14:textId="77777777" w:rsidR="00F709F6" w:rsidRDefault="00F709F6" w:rsidP="00F709F6">
      <w:pPr>
        <w:pStyle w:val="Szvegtrzs"/>
        <w:spacing w:before="240" w:after="0"/>
        <w:jc w:val="both"/>
      </w:pPr>
      <w:r>
        <w:t>(2) A közterület elnevezésekor a magyarországi hivatalos földrajzi nevek megállapításáról és nyilvántartásáról szóló 303/2007. (XI.14.) Korm. rendelet rendelkezésein felül figyelemmel kell lenni annak településen belüli elhelyezkedésére, az érintett közterület környékén lévő intézmények jellegére, a történelmi hagyományokra, a földrajzi környezetre és a nyelvhelyességi követelményekre.</w:t>
      </w:r>
    </w:p>
    <w:p w14:paraId="52737079" w14:textId="77777777" w:rsidR="00F709F6" w:rsidRDefault="00F709F6" w:rsidP="00F709F6">
      <w:pPr>
        <w:pStyle w:val="Szvegtrzs"/>
        <w:spacing w:before="240" w:after="0"/>
        <w:jc w:val="both"/>
      </w:pPr>
      <w:r>
        <w:t>(3) Az előtag megállapításakor ügyelni kell arra, hogy az elnevezés rövid és közérthető legyen, és kerülni kell az idegen vagy nehezen kiejthető elnevezéseket.</w:t>
      </w:r>
    </w:p>
    <w:p w14:paraId="31AEA38E" w14:textId="77777777" w:rsidR="00F709F6" w:rsidRDefault="00F709F6" w:rsidP="00F709F6">
      <w:pPr>
        <w:pStyle w:val="Szvegtrzs"/>
        <w:spacing w:before="240" w:after="0"/>
        <w:jc w:val="both"/>
      </w:pPr>
      <w:r>
        <w:t>(4) Új közterület elnevezésekor indokolt a környező közterület elnevezésekhez igazodó megnevezést választani.</w:t>
      </w:r>
    </w:p>
    <w:p w14:paraId="13C55103" w14:textId="77777777" w:rsidR="00F709F6" w:rsidRDefault="00F709F6" w:rsidP="00F709F6">
      <w:pPr>
        <w:pStyle w:val="Szvegtrzs"/>
        <w:spacing w:before="240" w:after="0"/>
        <w:jc w:val="both"/>
      </w:pPr>
      <w:r>
        <w:t>(5) Az új közterület nevét a közterületként való ingatlan-nyilvántartási bejegyzését követő egy éven belül kell megállapítani.</w:t>
      </w:r>
    </w:p>
    <w:p w14:paraId="13C18C13" w14:textId="77777777" w:rsidR="00F709F6" w:rsidRDefault="00F709F6" w:rsidP="00F709F6">
      <w:pPr>
        <w:pStyle w:val="Szvegtrzs"/>
        <w:spacing w:before="240" w:after="0"/>
        <w:jc w:val="both"/>
      </w:pPr>
      <w:r>
        <w:t>(6) Ha egy közterület városrendezés, beépítés következtében két vagy több részre tagolódik, egységes közterületként megszűnik, és emiatt a megfelelő tájékozódás nem biztosított, az elkülönült közterületrész(</w:t>
      </w:r>
      <w:proofErr w:type="spellStart"/>
      <w:r>
        <w:t>ek</w:t>
      </w:r>
      <w:proofErr w:type="spellEnd"/>
      <w:r>
        <w:t>)</w:t>
      </w:r>
      <w:proofErr w:type="spellStart"/>
      <w:r>
        <w:t>nek</w:t>
      </w:r>
      <w:proofErr w:type="spellEnd"/>
      <w:r>
        <w:t xml:space="preserve"> más nevet kell adni.</w:t>
      </w:r>
    </w:p>
    <w:p w14:paraId="03278049" w14:textId="77777777" w:rsidR="00F709F6" w:rsidRDefault="00F709F6" w:rsidP="00F709F6">
      <w:pPr>
        <w:pStyle w:val="Szvegtrzs"/>
        <w:spacing w:before="240" w:after="0"/>
        <w:jc w:val="both"/>
      </w:pPr>
      <w:r>
        <w:t>(7) Az elnevezett közterület természetes folytatásaként létesülő új útszakasz - külön eljárás nélkül - a már elnevezett közterület nevét veszi fel.</w:t>
      </w:r>
    </w:p>
    <w:p w14:paraId="1D7119A8" w14:textId="77777777" w:rsidR="00F709F6" w:rsidRDefault="00F709F6" w:rsidP="00F709F6">
      <w:pPr>
        <w:pStyle w:val="Szvegtrzs"/>
        <w:spacing w:before="280" w:after="0"/>
        <w:jc w:val="center"/>
        <w:rPr>
          <w:b/>
          <w:bCs/>
        </w:rPr>
      </w:pPr>
      <w:r>
        <w:rPr>
          <w:b/>
          <w:bCs/>
        </w:rPr>
        <w:t>3. Közterület személyről történő elnevezése</w:t>
      </w:r>
    </w:p>
    <w:p w14:paraId="16F21129" w14:textId="77777777" w:rsidR="00F709F6" w:rsidRDefault="00F709F6" w:rsidP="00F709F6">
      <w:pPr>
        <w:pStyle w:val="Szvegtrzs"/>
        <w:spacing w:before="240" w:after="240"/>
        <w:jc w:val="center"/>
        <w:rPr>
          <w:b/>
          <w:bCs/>
        </w:rPr>
      </w:pPr>
      <w:r>
        <w:rPr>
          <w:b/>
          <w:bCs/>
        </w:rPr>
        <w:t>4. §</w:t>
      </w:r>
    </w:p>
    <w:p w14:paraId="5F89152E" w14:textId="77777777" w:rsidR="00F709F6" w:rsidRDefault="00F709F6" w:rsidP="00F709F6">
      <w:pPr>
        <w:pStyle w:val="Szvegtrzs"/>
        <w:spacing w:after="0"/>
        <w:jc w:val="both"/>
      </w:pPr>
      <w:r>
        <w:t>(1) Közterület élő személyről a Magyarország helyi önkormányzatairól szóló 2011. évi CLXXXIX. törvény 14/A. § (3) bekezdése alapján nem nevezhető el.</w:t>
      </w:r>
    </w:p>
    <w:p w14:paraId="28FE63E6" w14:textId="77777777" w:rsidR="00F709F6" w:rsidRDefault="00F709F6" w:rsidP="00F709F6">
      <w:pPr>
        <w:pStyle w:val="Szvegtrzs"/>
        <w:spacing w:before="240" w:after="0"/>
        <w:jc w:val="both"/>
      </w:pPr>
      <w:r>
        <w:t>(2) Közterület-elnevezéssel emléket állítani olyan magyar személynek lehet,</w:t>
      </w:r>
    </w:p>
    <w:p w14:paraId="424B2E65" w14:textId="77777777" w:rsidR="00F709F6" w:rsidRDefault="00F709F6" w:rsidP="00F709F6">
      <w:pPr>
        <w:pStyle w:val="Szvegtrzs"/>
        <w:spacing w:after="0"/>
        <w:ind w:left="580" w:hanging="560"/>
        <w:jc w:val="both"/>
      </w:pPr>
      <w:r>
        <w:rPr>
          <w:i/>
          <w:iCs/>
        </w:rPr>
        <w:t>a)</w:t>
      </w:r>
      <w:r>
        <w:tab/>
        <w:t>akinek közismert tevékenysége a nemzet történelmében kiemelkedő jelentőségű volt és személye közmegbecsülésnek örvend,</w:t>
      </w:r>
    </w:p>
    <w:p w14:paraId="593FA93D" w14:textId="77777777" w:rsidR="00F709F6" w:rsidRDefault="00F709F6" w:rsidP="00F709F6">
      <w:pPr>
        <w:pStyle w:val="Szvegtrzs"/>
        <w:spacing w:after="0"/>
        <w:ind w:left="580" w:hanging="560"/>
        <w:jc w:val="both"/>
      </w:pPr>
      <w:r>
        <w:rPr>
          <w:i/>
          <w:iCs/>
        </w:rPr>
        <w:t>b)</w:t>
      </w:r>
      <w:r>
        <w:tab/>
        <w:t xml:space="preserve">aki a magyar tudomány, művészet, sport vagy a társadalmi élet egyéb területén kimagaslóan </w:t>
      </w:r>
      <w:proofErr w:type="spellStart"/>
      <w:r>
        <w:t>jelentőset</w:t>
      </w:r>
      <w:proofErr w:type="spellEnd"/>
      <w:r>
        <w:t xml:space="preserve"> tett vagy alkotott, és ezáltal személyének emléke megőrzésre méltó,</w:t>
      </w:r>
    </w:p>
    <w:p w14:paraId="7A4C6D1C" w14:textId="77777777" w:rsidR="00F709F6" w:rsidRDefault="00F709F6" w:rsidP="00F709F6">
      <w:pPr>
        <w:pStyle w:val="Szvegtrzs"/>
        <w:spacing w:after="0"/>
        <w:ind w:left="580" w:hanging="560"/>
        <w:jc w:val="both"/>
      </w:pPr>
      <w:r>
        <w:rPr>
          <w:i/>
          <w:iCs/>
        </w:rPr>
        <w:t>c)</w:t>
      </w:r>
      <w:r>
        <w:tab/>
        <w:t>aki Tiszakécske város életében, történetében kiemelkedő szerepet töltött be, illetve tevékenységével hozzájárult a település fejlődéséhez.</w:t>
      </w:r>
    </w:p>
    <w:p w14:paraId="6102D736" w14:textId="77777777" w:rsidR="00F709F6" w:rsidRDefault="00F709F6" w:rsidP="00F709F6">
      <w:pPr>
        <w:pStyle w:val="Szvegtrzs"/>
        <w:spacing w:before="240" w:after="0"/>
        <w:jc w:val="both"/>
      </w:pPr>
      <w:r>
        <w:lastRenderedPageBreak/>
        <w:t>(3) Közterületet elnevezni kivételesen indokolt esetben olyan nem magyar személyről is lehet, akinek élete, munkássága az emberiség egyetemes történelmében, illetőleg Magyarország vagy Tiszakécske vonatkozásában kiemelkedő jelentőségű volt.</w:t>
      </w:r>
    </w:p>
    <w:p w14:paraId="45071F30" w14:textId="77777777" w:rsidR="00F709F6" w:rsidRDefault="00F709F6" w:rsidP="00F709F6">
      <w:pPr>
        <w:pStyle w:val="Szvegtrzs"/>
        <w:spacing w:before="240" w:after="0"/>
        <w:jc w:val="both"/>
      </w:pPr>
      <w:r>
        <w:t>(4) A közterületnév előtagjának meg kell egyeznie a személy által használt családi és utónévvel.</w:t>
      </w:r>
    </w:p>
    <w:p w14:paraId="3D4455D8" w14:textId="77777777" w:rsidR="00F709F6" w:rsidRDefault="00F709F6" w:rsidP="00F709F6">
      <w:pPr>
        <w:pStyle w:val="Szvegtrzs"/>
        <w:spacing w:before="240" w:after="0"/>
        <w:jc w:val="both"/>
      </w:pPr>
      <w:r>
        <w:t>(5) Kizárólag a családi nevet csak akkor lehet alkalmazni, ha a névadó személye így is, vagy így ismert.</w:t>
      </w:r>
    </w:p>
    <w:p w14:paraId="019E1E68" w14:textId="77777777" w:rsidR="00F709F6" w:rsidRDefault="00F709F6" w:rsidP="00F709F6">
      <w:pPr>
        <w:pStyle w:val="Szvegtrzs"/>
        <w:spacing w:before="240" w:after="0"/>
        <w:jc w:val="both"/>
      </w:pPr>
      <w:r>
        <w:t>(6) A (4)-(5) bekezdésben foglaltaktól csak abban az esetben lehet eltérni, ha a személy nem eredeti nevén vált ismertté.</w:t>
      </w:r>
    </w:p>
    <w:p w14:paraId="2A013494" w14:textId="77777777" w:rsidR="00F709F6" w:rsidRDefault="00F709F6" w:rsidP="00F709F6">
      <w:pPr>
        <w:pStyle w:val="Szvegtrzs"/>
        <w:spacing w:before="240" w:after="0"/>
        <w:jc w:val="both"/>
      </w:pPr>
      <w:r>
        <w:t>(7) Ha a névadó személy foglalkozása, hivatása vagy egyéb ismertetőjegye szorosan kapcsolódik a személynévhez, akkor ez a közterületnévben is feltüntethető.</w:t>
      </w:r>
    </w:p>
    <w:p w14:paraId="0B4ADF79" w14:textId="77777777" w:rsidR="00F709F6" w:rsidRDefault="00F709F6" w:rsidP="00F709F6">
      <w:pPr>
        <w:pStyle w:val="Szvegtrzs"/>
        <w:spacing w:before="280" w:after="0"/>
        <w:jc w:val="center"/>
        <w:rPr>
          <w:b/>
          <w:bCs/>
        </w:rPr>
      </w:pPr>
      <w:r>
        <w:rPr>
          <w:b/>
          <w:bCs/>
        </w:rPr>
        <w:t>4. A közterület elnevezés és az elnevezés megváltoztatásának kezdeményezése, az elnevezés megváltoztatása, az elnevezés megszűnése</w:t>
      </w:r>
    </w:p>
    <w:p w14:paraId="526BCB6F" w14:textId="77777777" w:rsidR="00F709F6" w:rsidRDefault="00F709F6" w:rsidP="00F709F6">
      <w:pPr>
        <w:pStyle w:val="Szvegtrzs"/>
        <w:spacing w:before="240" w:after="240"/>
        <w:jc w:val="center"/>
        <w:rPr>
          <w:b/>
          <w:bCs/>
        </w:rPr>
      </w:pPr>
      <w:r>
        <w:rPr>
          <w:b/>
          <w:bCs/>
        </w:rPr>
        <w:t>5. §</w:t>
      </w:r>
    </w:p>
    <w:p w14:paraId="0C683270" w14:textId="77777777" w:rsidR="00F709F6" w:rsidRDefault="00F709F6" w:rsidP="00F709F6">
      <w:pPr>
        <w:pStyle w:val="Szvegtrzs"/>
        <w:spacing w:after="0"/>
        <w:jc w:val="both"/>
      </w:pPr>
      <w:r>
        <w:t>(1) Közterület elnevezését, vagy meglévő közterületnév megváltoztatását kezdeményezheti</w:t>
      </w:r>
    </w:p>
    <w:p w14:paraId="1463AB09" w14:textId="77777777" w:rsidR="00F709F6" w:rsidRDefault="00F709F6" w:rsidP="00F709F6">
      <w:pPr>
        <w:pStyle w:val="Szvegtrzs"/>
        <w:spacing w:after="0"/>
        <w:ind w:left="580" w:hanging="560"/>
        <w:jc w:val="both"/>
      </w:pPr>
      <w:r>
        <w:rPr>
          <w:i/>
          <w:iCs/>
        </w:rPr>
        <w:t>a)</w:t>
      </w:r>
      <w:r>
        <w:tab/>
        <w:t>a polgármester,</w:t>
      </w:r>
    </w:p>
    <w:p w14:paraId="4EA54286" w14:textId="77777777" w:rsidR="00F709F6" w:rsidRDefault="00F709F6" w:rsidP="00F709F6">
      <w:pPr>
        <w:pStyle w:val="Szvegtrzs"/>
        <w:spacing w:after="0"/>
        <w:ind w:left="580" w:hanging="560"/>
        <w:jc w:val="both"/>
      </w:pPr>
      <w:r>
        <w:rPr>
          <w:i/>
          <w:iCs/>
        </w:rPr>
        <w:t>b)</w:t>
      </w:r>
      <w:r>
        <w:tab/>
        <w:t>a képviselő-testület tagja,</w:t>
      </w:r>
    </w:p>
    <w:p w14:paraId="34F5E8BF" w14:textId="77777777" w:rsidR="00F709F6" w:rsidRDefault="00F709F6" w:rsidP="00F709F6">
      <w:pPr>
        <w:pStyle w:val="Szvegtrzs"/>
        <w:spacing w:after="0"/>
        <w:ind w:left="580" w:hanging="560"/>
        <w:jc w:val="both"/>
      </w:pPr>
      <w:r>
        <w:rPr>
          <w:i/>
          <w:iCs/>
        </w:rPr>
        <w:t>c)</w:t>
      </w:r>
      <w:r>
        <w:tab/>
        <w:t>a jegyző, aljegyző,</w:t>
      </w:r>
    </w:p>
    <w:p w14:paraId="58EEA799" w14:textId="77777777" w:rsidR="00F709F6" w:rsidRDefault="00F709F6" w:rsidP="00F709F6">
      <w:pPr>
        <w:pStyle w:val="Szvegtrzs"/>
        <w:spacing w:after="0"/>
        <w:ind w:left="580" w:hanging="560"/>
        <w:jc w:val="both"/>
      </w:pPr>
      <w:r>
        <w:rPr>
          <w:i/>
          <w:iCs/>
        </w:rPr>
        <w:t>d)</w:t>
      </w:r>
      <w:r>
        <w:tab/>
        <w:t>Tiszakécskén működő civilszervezet,</w:t>
      </w:r>
    </w:p>
    <w:p w14:paraId="56A08BF8" w14:textId="77777777" w:rsidR="00F709F6" w:rsidRDefault="00F709F6" w:rsidP="00F709F6">
      <w:pPr>
        <w:pStyle w:val="Szvegtrzs"/>
        <w:spacing w:after="0"/>
        <w:ind w:left="580" w:hanging="560"/>
        <w:jc w:val="both"/>
      </w:pPr>
      <w:r>
        <w:rPr>
          <w:i/>
          <w:iCs/>
        </w:rPr>
        <w:t>e)</w:t>
      </w:r>
      <w:r>
        <w:tab/>
        <w:t>Tiszakécskén ingatlantulajdonnal vagy bejelentett lakóhellyel rendelkező személy,</w:t>
      </w:r>
    </w:p>
    <w:p w14:paraId="68269ECE" w14:textId="77777777" w:rsidR="00F709F6" w:rsidRDefault="00F709F6" w:rsidP="00F709F6">
      <w:pPr>
        <w:pStyle w:val="Szvegtrzs"/>
        <w:spacing w:after="0"/>
        <w:ind w:left="580" w:hanging="560"/>
        <w:jc w:val="both"/>
      </w:pPr>
      <w:r>
        <w:rPr>
          <w:i/>
          <w:iCs/>
        </w:rPr>
        <w:t>f)</w:t>
      </w:r>
      <w:r>
        <w:tab/>
        <w:t>a város közigazgatási területén ingatlan tulajdonjogával vagy székhellyel vagy telephellyel rendelkező jogi személy, jogi személyiséggel nem rendelkező szervezet.</w:t>
      </w:r>
    </w:p>
    <w:p w14:paraId="2CA72C63" w14:textId="77777777" w:rsidR="00F709F6" w:rsidRDefault="00F709F6" w:rsidP="00F709F6">
      <w:pPr>
        <w:pStyle w:val="Szvegtrzs"/>
        <w:spacing w:before="240" w:after="0"/>
        <w:jc w:val="both"/>
      </w:pPr>
      <w:r>
        <w:t>(2) A közterület elnevezés megváltoztatására a közterület elnevezésére vonatkozó szabályokat kell alkalmazni.</w:t>
      </w:r>
    </w:p>
    <w:p w14:paraId="245EACDB" w14:textId="77777777" w:rsidR="00F709F6" w:rsidRDefault="00F709F6" w:rsidP="00F709F6">
      <w:pPr>
        <w:pStyle w:val="Szvegtrzs"/>
        <w:spacing w:before="240" w:after="0"/>
        <w:jc w:val="both"/>
      </w:pPr>
      <w:r>
        <w:t>(3) A közterületnevet megváltoztatni csak indokolt esetben lehet, különösen, ha a közterületnév tartalmának, jelentésének más névvel történő helyettesítése társadalmi és erkölcsi szempontból, vagy a Magyarország helyi önkormányzatairól szóló 2011. évi CLXXXIX. törvény 14/A. § (2) bekezdése értelmében szükséges.</w:t>
      </w:r>
    </w:p>
    <w:p w14:paraId="5F1A0DB2" w14:textId="77777777" w:rsidR="00F709F6" w:rsidRDefault="00F709F6" w:rsidP="00F709F6">
      <w:pPr>
        <w:pStyle w:val="Szvegtrzs"/>
        <w:spacing w:before="240" w:after="0"/>
        <w:jc w:val="both"/>
      </w:pPr>
      <w:r>
        <w:t>(4) Közterület elnevezésének, vagy az elnevezés megváltoztatásának előkészítése során be kell szerezni az elnevezni, vagy megváltoztatni kívánt közterület tulajdoni lapját, valamint annak térképvázlatát, amely tartalmazza a közterület határait és a hozzá tartozó ingatlanokat.</w:t>
      </w:r>
    </w:p>
    <w:p w14:paraId="058C5217" w14:textId="77777777" w:rsidR="00F709F6" w:rsidRDefault="00F709F6" w:rsidP="00F709F6">
      <w:pPr>
        <w:pStyle w:val="Szvegtrzs"/>
        <w:spacing w:before="240" w:after="0"/>
        <w:jc w:val="both"/>
      </w:pPr>
      <w:r>
        <w:t>(5) A közterület elnevezésével vagy nevének megváltozásával kapcsolatos vélemények kikérése érdekében a Jegyző a helyben szokásos módon 15 napra hirdetményt tesz közzé, amelyre a Tiszakécskén működő civil szervezetek, Tiszakécske város közigazgatási területén ingatlantulajdonnal vagy bejelentett lakóhellyel rendelkező személyek, illetve Tiszakécskén ingatlan tulajdonjogával vagy székhellyel vagy telephellyel rendelkező jogi személyek, jogi személyiséggel nem rendelkező szervezetek javaslatot tehetnek.</w:t>
      </w:r>
    </w:p>
    <w:p w14:paraId="7335E976" w14:textId="77777777" w:rsidR="00F709F6" w:rsidRDefault="00F709F6" w:rsidP="00F709F6">
      <w:pPr>
        <w:pStyle w:val="Szvegtrzs"/>
        <w:spacing w:before="240" w:after="0"/>
        <w:jc w:val="both"/>
      </w:pPr>
      <w:r>
        <w:t>(6) Az (5) bekezdés szerinti véleményeknek a képviselő-testület döntésére nincs kötelező ereje.</w:t>
      </w:r>
    </w:p>
    <w:p w14:paraId="764A3B0A" w14:textId="77777777" w:rsidR="00F709F6" w:rsidRDefault="00F709F6" w:rsidP="00F709F6">
      <w:pPr>
        <w:pStyle w:val="Szvegtrzs"/>
        <w:spacing w:before="240" w:after="0"/>
        <w:jc w:val="both"/>
      </w:pPr>
      <w:r>
        <w:lastRenderedPageBreak/>
        <w:t>(7) A Képviselő-testület döntéséről a Jegyző értesíti a városban működő közigazgatási szerveket, közszolgáltatókat, valamint az adott közterülethez kapcsolódó ingatlanokon lakcímmel rendelkező személyeket.</w:t>
      </w:r>
    </w:p>
    <w:p w14:paraId="18C7F37C" w14:textId="77777777" w:rsidR="00F709F6" w:rsidRDefault="00F709F6" w:rsidP="00F709F6">
      <w:pPr>
        <w:pStyle w:val="Szvegtrzs"/>
        <w:spacing w:before="240" w:after="0"/>
        <w:jc w:val="both"/>
      </w:pPr>
      <w:r>
        <w:t>(8) A Jegyző a Tiszakécske város közigazgatási területén lévő közterületekről nyilvántartást vezet.</w:t>
      </w:r>
    </w:p>
    <w:p w14:paraId="49D49178" w14:textId="77777777" w:rsidR="00F709F6" w:rsidRDefault="00F709F6" w:rsidP="00F709F6">
      <w:pPr>
        <w:pStyle w:val="Szvegtrzs"/>
        <w:spacing w:before="240" w:after="0"/>
        <w:jc w:val="both"/>
      </w:pPr>
      <w:r>
        <w:t>(9) A közterület megszűnésével külön döntés nélkül a közterület elnevezése is megszűnik.</w:t>
      </w:r>
    </w:p>
    <w:p w14:paraId="7ADD95FC" w14:textId="77777777" w:rsidR="00F709F6" w:rsidRDefault="00F709F6" w:rsidP="00F709F6">
      <w:pPr>
        <w:pStyle w:val="Szvegtrzs"/>
        <w:spacing w:before="280" w:after="0"/>
        <w:jc w:val="center"/>
        <w:rPr>
          <w:b/>
          <w:bCs/>
        </w:rPr>
      </w:pPr>
      <w:r>
        <w:rPr>
          <w:b/>
          <w:bCs/>
        </w:rPr>
        <w:t>5. Településrész nevének megállapítása</w:t>
      </w:r>
    </w:p>
    <w:p w14:paraId="21CFEC3F" w14:textId="77777777" w:rsidR="00F709F6" w:rsidRDefault="00F709F6" w:rsidP="00F709F6">
      <w:pPr>
        <w:pStyle w:val="Szvegtrzs"/>
        <w:spacing w:before="240" w:after="240"/>
        <w:jc w:val="center"/>
        <w:rPr>
          <w:b/>
          <w:bCs/>
        </w:rPr>
      </w:pPr>
      <w:r>
        <w:rPr>
          <w:b/>
          <w:bCs/>
        </w:rPr>
        <w:t>6. §</w:t>
      </w:r>
    </w:p>
    <w:p w14:paraId="40A6DE91" w14:textId="77777777" w:rsidR="00F709F6" w:rsidRDefault="00F709F6" w:rsidP="00F709F6">
      <w:pPr>
        <w:pStyle w:val="Szvegtrzs"/>
        <w:spacing w:after="0"/>
        <w:jc w:val="both"/>
      </w:pPr>
      <w:r>
        <w:t>A nagyobb, összefüggő bel- vagy külterületi városrészt (lakónegyed, településrész) a közterület elnevezési szabályok értelemszerű alkalmazásával lehet elnevezni.</w:t>
      </w:r>
    </w:p>
    <w:p w14:paraId="5CB5248F" w14:textId="77777777" w:rsidR="00F709F6" w:rsidRDefault="00F709F6" w:rsidP="00F709F6">
      <w:pPr>
        <w:pStyle w:val="Szvegtrzs"/>
        <w:spacing w:before="280" w:after="0"/>
        <w:jc w:val="center"/>
        <w:rPr>
          <w:b/>
          <w:bCs/>
        </w:rPr>
      </w:pPr>
      <w:r>
        <w:rPr>
          <w:b/>
          <w:bCs/>
        </w:rPr>
        <w:t>6. A házszám megállapításának szabályai, a házszámváltozás</w:t>
      </w:r>
    </w:p>
    <w:p w14:paraId="2C487185" w14:textId="77777777" w:rsidR="00F709F6" w:rsidRDefault="00F709F6" w:rsidP="00F709F6">
      <w:pPr>
        <w:pStyle w:val="Szvegtrzs"/>
        <w:spacing w:before="240" w:after="240"/>
        <w:jc w:val="center"/>
        <w:rPr>
          <w:b/>
          <w:bCs/>
        </w:rPr>
      </w:pPr>
      <w:r>
        <w:rPr>
          <w:b/>
          <w:bCs/>
        </w:rPr>
        <w:t>7. §</w:t>
      </w:r>
    </w:p>
    <w:p w14:paraId="7237C08C" w14:textId="77777777" w:rsidR="00F709F6" w:rsidRDefault="00F709F6" w:rsidP="00F709F6">
      <w:pPr>
        <w:pStyle w:val="Szvegtrzs"/>
        <w:spacing w:after="0"/>
        <w:jc w:val="both"/>
      </w:pPr>
      <w:r>
        <w:t xml:space="preserve">(1) Az ingatlanokat házszámmal kell ellátni. A házszámozást a KCR rendelet címképzésre vonatkozó előírásainak </w:t>
      </w:r>
      <w:proofErr w:type="gramStart"/>
      <w:r>
        <w:t>figyelembe vételével</w:t>
      </w:r>
      <w:proofErr w:type="gramEnd"/>
      <w:r>
        <w:t xml:space="preserve"> kell elvégezni.</w:t>
      </w:r>
    </w:p>
    <w:p w14:paraId="5FE2B4C4" w14:textId="77777777" w:rsidR="00F709F6" w:rsidRDefault="00F709F6" w:rsidP="00F709F6">
      <w:pPr>
        <w:pStyle w:val="Szvegtrzs"/>
        <w:spacing w:before="240" w:after="0"/>
        <w:jc w:val="both"/>
      </w:pPr>
      <w:r>
        <w:t>(2) A házszámot a közterület nevéhez kapcsolódóan kell megállapítani.</w:t>
      </w:r>
    </w:p>
    <w:p w14:paraId="173DB16D" w14:textId="77777777" w:rsidR="00F709F6" w:rsidRDefault="00F709F6" w:rsidP="00F709F6">
      <w:pPr>
        <w:pStyle w:val="Szvegtrzs"/>
        <w:spacing w:before="240" w:after="0"/>
        <w:jc w:val="both"/>
      </w:pPr>
      <w:r>
        <w:t>(3) Egy adott közterületen több ingatlan azonos számmal nem jelölhető.</w:t>
      </w:r>
    </w:p>
    <w:p w14:paraId="34CC5D7E" w14:textId="77777777" w:rsidR="00F709F6" w:rsidRDefault="00F709F6" w:rsidP="00F709F6">
      <w:pPr>
        <w:pStyle w:val="Szvegtrzs"/>
        <w:spacing w:before="240" w:after="0"/>
        <w:jc w:val="both"/>
      </w:pPr>
      <w:r>
        <w:t>(4) A házszám arab szám, továbbá - amennyiben ez szükséges - arab szám és az ABC ékezet nélküli nagybetűit felhasználó kombináció lehet.</w:t>
      </w:r>
    </w:p>
    <w:p w14:paraId="1F2B7BC6" w14:textId="77777777" w:rsidR="00F709F6" w:rsidRDefault="00F709F6" w:rsidP="00F709F6">
      <w:pPr>
        <w:pStyle w:val="Szvegtrzs"/>
        <w:spacing w:before="240" w:after="0"/>
        <w:jc w:val="both"/>
      </w:pPr>
      <w:r>
        <w:t>(5) A házszámokat, azok változásait a KCR rendelet alapján a jegyző hivatalból vagy kérelemre állapítja meg.</w:t>
      </w:r>
    </w:p>
    <w:p w14:paraId="62381BF7" w14:textId="77777777" w:rsidR="00F709F6" w:rsidRDefault="00F709F6" w:rsidP="00F709F6">
      <w:pPr>
        <w:pStyle w:val="Szvegtrzs"/>
        <w:spacing w:before="240" w:after="240"/>
        <w:jc w:val="center"/>
        <w:rPr>
          <w:b/>
          <w:bCs/>
        </w:rPr>
      </w:pPr>
      <w:r>
        <w:rPr>
          <w:b/>
          <w:bCs/>
        </w:rPr>
        <w:t>8. §</w:t>
      </w:r>
    </w:p>
    <w:p w14:paraId="1D95C60C" w14:textId="77777777" w:rsidR="00F709F6" w:rsidRDefault="00F709F6" w:rsidP="00F709F6">
      <w:pPr>
        <w:pStyle w:val="Szvegtrzs"/>
        <w:spacing w:after="0"/>
        <w:jc w:val="both"/>
      </w:pPr>
      <w:r>
        <w:t>(1) A vonalszerű közterületek esetében a jobb oldalon páratlan számokból, a bal oldalon a páros számokból kell megszakítás nélkül a házszámot folyamatosan képezni. Az ingatlanokat a város központjától, vagy a közlekedési szempontból magasabb rendű utca torkolatától kezdve kell számozni. A számozás a páratlan oldalon egyes számtól, a páros oldalon a kettes számtól kezdődően történik.</w:t>
      </w:r>
    </w:p>
    <w:p w14:paraId="15DB82BE" w14:textId="77777777" w:rsidR="00F709F6" w:rsidRDefault="00F709F6" w:rsidP="00F709F6">
      <w:pPr>
        <w:pStyle w:val="Szvegtrzs"/>
        <w:spacing w:before="240" w:after="0"/>
        <w:jc w:val="both"/>
      </w:pPr>
      <w:r>
        <w:t>(2) Tiszakécske központjának jelen rendelet során a Szent Imre teret kell tekinteni.</w:t>
      </w:r>
    </w:p>
    <w:p w14:paraId="21337856" w14:textId="77777777" w:rsidR="00F709F6" w:rsidRDefault="00F709F6" w:rsidP="00F709F6">
      <w:pPr>
        <w:pStyle w:val="Szvegtrzs"/>
        <w:spacing w:before="240" w:after="0"/>
        <w:jc w:val="both"/>
      </w:pPr>
      <w:r>
        <w:t>(3) Zsákutcánál a bejárattól kezdve kell számozni.</w:t>
      </w:r>
    </w:p>
    <w:p w14:paraId="4E9C2F64" w14:textId="77777777" w:rsidR="00F709F6" w:rsidRDefault="00F709F6" w:rsidP="00F709F6">
      <w:pPr>
        <w:pStyle w:val="Szvegtrzs"/>
        <w:spacing w:before="240" w:after="0"/>
        <w:jc w:val="both"/>
      </w:pPr>
      <w:r>
        <w:t>(4) A csak egyoldalon beépíthető közterület házszám-megállapítása 1-től kezdődően folyamatosan történik.</w:t>
      </w:r>
    </w:p>
    <w:p w14:paraId="58D2F95A" w14:textId="77777777" w:rsidR="00F709F6" w:rsidRDefault="00F709F6" w:rsidP="00F709F6">
      <w:pPr>
        <w:pStyle w:val="Szvegtrzs"/>
        <w:spacing w:before="240" w:after="0"/>
        <w:jc w:val="both"/>
      </w:pPr>
      <w:r>
        <w:t>(5) Terek és az ahhoz hasonló alakú közterületek esetén a házszám-megállapítás 1-től kezdődően folyamatosan, az óramutató járásával megegyezően alakítandó ki.</w:t>
      </w:r>
    </w:p>
    <w:p w14:paraId="30B4CC5C" w14:textId="77777777" w:rsidR="00F709F6" w:rsidRDefault="00F709F6" w:rsidP="00F709F6">
      <w:pPr>
        <w:pStyle w:val="Szvegtrzs"/>
        <w:spacing w:before="240" w:after="0"/>
        <w:jc w:val="both"/>
      </w:pPr>
      <w:r>
        <w:lastRenderedPageBreak/>
        <w:t>(6) Saroktelek esetében csak annak az oldalnak kell házszámot megállapítani, amelyen az épület utcafronti főhomlokzata nyílik.</w:t>
      </w:r>
    </w:p>
    <w:p w14:paraId="2310B705" w14:textId="77777777" w:rsidR="00F709F6" w:rsidRDefault="00F709F6" w:rsidP="00F709F6">
      <w:pPr>
        <w:pStyle w:val="Szvegtrzs"/>
        <w:spacing w:before="240" w:after="0"/>
        <w:jc w:val="both"/>
      </w:pPr>
      <w:r>
        <w:t>(7) A kialakult számozás után megosztott ingatlan eredeti (alátörés nélküli) házszáma az újonnan kialakított telkek számának megfelelően az ABC ékezet nélküli betűiből álló alátörést kap.</w:t>
      </w:r>
    </w:p>
    <w:p w14:paraId="534A0D3D" w14:textId="77777777" w:rsidR="00F709F6" w:rsidRDefault="00F709F6" w:rsidP="00F709F6">
      <w:pPr>
        <w:pStyle w:val="Szvegtrzs"/>
        <w:spacing w:before="240" w:after="0"/>
        <w:jc w:val="both"/>
      </w:pPr>
      <w:r>
        <w:t>(8) Telekegyesítéskor a házszámokat össze kell vonni. Az új házszámot úgy kell feltüntetni, hogy az egyesítés előtti legalacsonyabb és legmagasabb számot kötőjellel kell összekötni.</w:t>
      </w:r>
    </w:p>
    <w:p w14:paraId="5AEAAF81" w14:textId="77777777" w:rsidR="00F709F6" w:rsidRDefault="00F709F6" w:rsidP="00F709F6">
      <w:pPr>
        <w:pStyle w:val="Szvegtrzs"/>
        <w:spacing w:before="240" w:after="0"/>
        <w:jc w:val="both"/>
      </w:pPr>
      <w:r>
        <w:t>(9) Ha az ingatlan több közterülettel is érintkezik (kettő vagy több utcára nyíló telek) és a telek megosztható kettő vagy több önálló beépítésre alkalmas méretű ingatlanra, akkor minden utcára meg kell állapítani a házszámot. Kiadni csak azt a számot lehet, mely közterület felől az ingatlan fő megközelítési iránya van, a többi számot csak fenntartani kell, a későbbi telekkialakítás lehetősége érdekében.</w:t>
      </w:r>
    </w:p>
    <w:p w14:paraId="785BD99A" w14:textId="77777777" w:rsidR="00F709F6" w:rsidRDefault="00F709F6" w:rsidP="00F709F6">
      <w:pPr>
        <w:pStyle w:val="Szvegtrzs"/>
        <w:spacing w:before="240" w:after="0"/>
        <w:jc w:val="both"/>
      </w:pPr>
      <w:r>
        <w:t>(10) A belterületi épület házszámának megállapításakor a közterülettel határos, minden beépíthető telek beépítettnek tekintendő.</w:t>
      </w:r>
    </w:p>
    <w:p w14:paraId="76B7DECE" w14:textId="77777777" w:rsidR="00F709F6" w:rsidRDefault="00F709F6" w:rsidP="00F709F6">
      <w:pPr>
        <w:pStyle w:val="Szvegtrzs"/>
        <w:spacing w:before="240" w:after="240"/>
        <w:jc w:val="center"/>
        <w:rPr>
          <w:b/>
          <w:bCs/>
        </w:rPr>
      </w:pPr>
      <w:r>
        <w:rPr>
          <w:b/>
          <w:bCs/>
        </w:rPr>
        <w:t>9. §</w:t>
      </w:r>
    </w:p>
    <w:p w14:paraId="06EB7A67" w14:textId="77777777" w:rsidR="00F709F6" w:rsidRDefault="00F709F6" w:rsidP="00F709F6">
      <w:pPr>
        <w:pStyle w:val="Szvegtrzs"/>
        <w:spacing w:after="0"/>
        <w:jc w:val="both"/>
      </w:pPr>
      <w:r>
        <w:t>(1) A már megállapított házszámok megváltoztatására indokolt esetben, a KCR rendeletben foglalt szabályoknak történő megfelelés, és olyan rendezetlen állapotok megszüntetése érdekében kerülhet sor, amelyek az ingatlanok azonosítását akadályozzák.</w:t>
      </w:r>
    </w:p>
    <w:p w14:paraId="12C374BF" w14:textId="77777777" w:rsidR="00F709F6" w:rsidRDefault="00F709F6" w:rsidP="00F709F6">
      <w:pPr>
        <w:pStyle w:val="Szvegtrzs"/>
        <w:spacing w:before="240" w:after="0"/>
        <w:jc w:val="both"/>
      </w:pPr>
      <w:r>
        <w:t>(2) Az ingatlanokat a legkisebb érdeksérelemmel járó módon, a lehető legkisebb változtatás elvének figyelembevételével kell átszámozni.</w:t>
      </w:r>
    </w:p>
    <w:p w14:paraId="7577CBBD" w14:textId="77777777" w:rsidR="00F709F6" w:rsidRDefault="00F709F6" w:rsidP="00F709F6">
      <w:pPr>
        <w:pStyle w:val="Szvegtrzs"/>
        <w:spacing w:before="280" w:after="0"/>
        <w:jc w:val="center"/>
        <w:rPr>
          <w:b/>
          <w:bCs/>
        </w:rPr>
      </w:pPr>
      <w:r>
        <w:rPr>
          <w:b/>
          <w:bCs/>
        </w:rPr>
        <w:t>7. Közterületi névtáblák és házszámtáblák kihelyezése</w:t>
      </w:r>
    </w:p>
    <w:p w14:paraId="0FD011CA" w14:textId="77777777" w:rsidR="00F709F6" w:rsidRDefault="00F709F6" w:rsidP="00F709F6">
      <w:pPr>
        <w:pStyle w:val="Szvegtrzs"/>
        <w:spacing w:before="240" w:after="240"/>
        <w:jc w:val="center"/>
        <w:rPr>
          <w:b/>
          <w:bCs/>
        </w:rPr>
      </w:pPr>
      <w:r>
        <w:rPr>
          <w:b/>
          <w:bCs/>
        </w:rPr>
        <w:t>10. §</w:t>
      </w:r>
    </w:p>
    <w:p w14:paraId="3C473D3D" w14:textId="77777777" w:rsidR="00F709F6" w:rsidRDefault="00F709F6" w:rsidP="00F709F6">
      <w:pPr>
        <w:pStyle w:val="Szvegtrzs"/>
        <w:spacing w:after="0"/>
        <w:jc w:val="both"/>
      </w:pPr>
      <w:r>
        <w:t xml:space="preserve">(1) A közterület elnevezését a tájékozódást jól segítő névtáblákon kell feltüntetni. A közterület nevét minimum 10 cm x 30 cm nagyságú, fekvő téglalap alakú fehér alapon 3 mm-es sötétkék vagy sötétbarna színű szegély keretű és </w:t>
      </w:r>
      <w:proofErr w:type="gramStart"/>
      <w:r>
        <w:t>fekete</w:t>
      </w:r>
      <w:proofErr w:type="gramEnd"/>
      <w:r>
        <w:t xml:space="preserve"> vagy barna feliratú névtábla jelöli.</w:t>
      </w:r>
    </w:p>
    <w:p w14:paraId="1405123F" w14:textId="77777777" w:rsidR="00F709F6" w:rsidRDefault="00F709F6" w:rsidP="00F709F6">
      <w:pPr>
        <w:pStyle w:val="Szvegtrzs"/>
        <w:spacing w:before="240" w:after="0"/>
        <w:jc w:val="both"/>
      </w:pPr>
      <w:r>
        <w:t>(2) A közterületi névtáblán fel kell tüntetni a közterület elnevezés elő- és utótagját rövidítés nélkül.</w:t>
      </w:r>
    </w:p>
    <w:p w14:paraId="2199C07F" w14:textId="77777777" w:rsidR="00F709F6" w:rsidRDefault="00F709F6" w:rsidP="00F709F6">
      <w:pPr>
        <w:pStyle w:val="Szvegtrzs"/>
        <w:spacing w:before="240" w:after="0"/>
        <w:jc w:val="both"/>
      </w:pPr>
      <w:r>
        <w:t>(3) Közterületi névtáblát a közterület kezdetén, végén, mindkét oldalon, valamint minden betorkolló közterületnél, mindkét oldalon fel kell szerelni. A közterületi névtáblát épületen, kerítésen vagy ezek hiányában külön tartószerkezeten – jól látható helyen – kell elhelyezni.</w:t>
      </w:r>
    </w:p>
    <w:p w14:paraId="227A982A" w14:textId="77777777" w:rsidR="00F709F6" w:rsidRDefault="00F709F6" w:rsidP="00F709F6">
      <w:pPr>
        <w:pStyle w:val="Szvegtrzs"/>
        <w:spacing w:before="240" w:after="0"/>
        <w:jc w:val="both"/>
      </w:pPr>
      <w:r>
        <w:t>(4) A sétány, külterületi lakott terület, az általánostól eltérő beépítettségű utca névtáblájának felirata és elhelyezése az (3) bekezdésben előírtaktól eltérhet.</w:t>
      </w:r>
    </w:p>
    <w:p w14:paraId="542C366F" w14:textId="77777777" w:rsidR="00F709F6" w:rsidRDefault="00F709F6" w:rsidP="00F709F6">
      <w:pPr>
        <w:pStyle w:val="Szvegtrzs"/>
        <w:spacing w:before="240" w:after="0"/>
        <w:jc w:val="both"/>
      </w:pPr>
      <w:r>
        <w:t>(5) Közterületi névtábla kihelyezésének, karbantartásának és pótlásának elrendelése a Jegyző feladata.</w:t>
      </w:r>
    </w:p>
    <w:p w14:paraId="3F311C7D" w14:textId="77777777" w:rsidR="00F709F6" w:rsidRDefault="00F709F6" w:rsidP="00F709F6">
      <w:pPr>
        <w:pStyle w:val="Szvegtrzs"/>
        <w:spacing w:before="240" w:after="0"/>
        <w:jc w:val="both"/>
      </w:pPr>
      <w:r>
        <w:t>(6) Az ingatlan tulajdonosa, kezelője vagy használója a közterületi névtábla elhelyezését és az ezzel kapcsolatos munkálatokat tűrni köteles.</w:t>
      </w:r>
    </w:p>
    <w:p w14:paraId="5A1EAAEB" w14:textId="77777777" w:rsidR="00F709F6" w:rsidRDefault="00F709F6" w:rsidP="00F709F6">
      <w:pPr>
        <w:pStyle w:val="Szvegtrzs"/>
        <w:spacing w:before="240" w:after="0"/>
        <w:jc w:val="both"/>
      </w:pPr>
      <w:r>
        <w:lastRenderedPageBreak/>
        <w:t>(7) Megváltozott közterület elnevezés esetében a régi nevet feltüntető táblát az elnevezés megváltoztatásától számított 1 évig eredeti helyén kell hagyni, és piros vonallal átlósan át kell húzni. Az új táblát az áthúzott régi tábla mellé kell felszerelni.</w:t>
      </w:r>
    </w:p>
    <w:p w14:paraId="658FEC75" w14:textId="77777777" w:rsidR="00F709F6" w:rsidRDefault="00F709F6" w:rsidP="00F709F6">
      <w:pPr>
        <w:pStyle w:val="Szvegtrzs"/>
        <w:spacing w:before="240" w:after="240"/>
        <w:jc w:val="center"/>
        <w:rPr>
          <w:b/>
          <w:bCs/>
        </w:rPr>
      </w:pPr>
      <w:r>
        <w:rPr>
          <w:b/>
          <w:bCs/>
        </w:rPr>
        <w:t>11. §</w:t>
      </w:r>
    </w:p>
    <w:p w14:paraId="5D6F44B4" w14:textId="77777777" w:rsidR="00F709F6" w:rsidRDefault="00F709F6" w:rsidP="00F709F6">
      <w:pPr>
        <w:pStyle w:val="Szvegtrzs"/>
        <w:spacing w:after="0"/>
        <w:jc w:val="both"/>
      </w:pPr>
      <w:r>
        <w:t>(1) Házszámváltozás esetén a házszámtáblát az ingatlan tulajdonosa köteles beszerezni és kihelyezni az értesítést követő 30 napon belül úgy, hogy az a közterületről jól látható legyen.</w:t>
      </w:r>
    </w:p>
    <w:p w14:paraId="10ABA56E" w14:textId="77777777" w:rsidR="00F709F6" w:rsidRDefault="00F709F6" w:rsidP="00F709F6">
      <w:pPr>
        <w:pStyle w:val="Szvegtrzs"/>
        <w:spacing w:before="240" w:after="0"/>
        <w:jc w:val="both"/>
      </w:pPr>
      <w:r>
        <w:t>(2) A házszám változása esetén a régi házszámtáblát az új házszámtábla kihelyezésétől számított 1 évig eredeti helyén kell hagyni, és piros vonallal átlósan át kell húzni.</w:t>
      </w:r>
    </w:p>
    <w:p w14:paraId="23F61FFD" w14:textId="77777777" w:rsidR="00F709F6" w:rsidRDefault="00F709F6" w:rsidP="00F709F6">
      <w:pPr>
        <w:pStyle w:val="Szvegtrzs"/>
        <w:spacing w:before="240" w:after="0"/>
        <w:jc w:val="both"/>
      </w:pPr>
      <w:r>
        <w:t>(3) A házszámtáblát az ingatlan kerítésére, házfalára, a közterületről jól látható módon kell az ingatlan tulajdonosának elhelyeznie.</w:t>
      </w:r>
    </w:p>
    <w:p w14:paraId="3435FB23" w14:textId="77777777" w:rsidR="00F709F6" w:rsidRDefault="00F709F6" w:rsidP="00F709F6">
      <w:pPr>
        <w:pStyle w:val="Szvegtrzs"/>
        <w:spacing w:before="240" w:after="0"/>
        <w:jc w:val="both"/>
      </w:pPr>
      <w:r>
        <w:t>(4) Amennyiben az ingatlan házszáma hivatalból indult eljárás keretében változik meg, a házszámtáblát az ingatlan tulajdonosa részére az ingatlan tulajdonosának kérelmére az önkormányzat ingyenesen biztosítja.</w:t>
      </w:r>
    </w:p>
    <w:p w14:paraId="26C5590E" w14:textId="77777777" w:rsidR="00F709F6" w:rsidRDefault="00F709F6" w:rsidP="00F709F6">
      <w:pPr>
        <w:pStyle w:val="Szvegtrzs"/>
        <w:spacing w:before="280" w:after="0"/>
        <w:jc w:val="center"/>
        <w:rPr>
          <w:b/>
          <w:bCs/>
        </w:rPr>
      </w:pPr>
      <w:r>
        <w:rPr>
          <w:b/>
          <w:bCs/>
        </w:rPr>
        <w:t>8. Záró rendelkezések</w:t>
      </w:r>
    </w:p>
    <w:p w14:paraId="7BF64812" w14:textId="77777777" w:rsidR="00F709F6" w:rsidRDefault="00F709F6" w:rsidP="00F709F6">
      <w:pPr>
        <w:pStyle w:val="Szvegtrzs"/>
        <w:spacing w:before="240" w:after="240"/>
        <w:jc w:val="center"/>
        <w:rPr>
          <w:b/>
          <w:bCs/>
        </w:rPr>
      </w:pPr>
      <w:r>
        <w:rPr>
          <w:b/>
          <w:bCs/>
        </w:rPr>
        <w:t>12. §</w:t>
      </w:r>
    </w:p>
    <w:p w14:paraId="3237E083" w14:textId="77777777" w:rsidR="00F709F6" w:rsidRDefault="00F709F6" w:rsidP="00F709F6">
      <w:pPr>
        <w:pStyle w:val="Szvegtrzs"/>
        <w:spacing w:after="0"/>
        <w:jc w:val="both"/>
      </w:pPr>
      <w:r>
        <w:t>Ez a rendelet 2022. október 15-én lép hatályba.</w:t>
      </w:r>
    </w:p>
    <w:p w14:paraId="24ACD2BD" w14:textId="77777777" w:rsidR="00F709F6" w:rsidRDefault="00F709F6" w:rsidP="00F709F6">
      <w:pPr>
        <w:pStyle w:val="Szvegtrzs"/>
        <w:spacing w:before="240" w:after="240"/>
        <w:jc w:val="center"/>
        <w:rPr>
          <w:b/>
          <w:bCs/>
        </w:rPr>
      </w:pPr>
      <w:r>
        <w:rPr>
          <w:b/>
          <w:bCs/>
        </w:rPr>
        <w:t>13. §</w:t>
      </w:r>
    </w:p>
    <w:p w14:paraId="151D6BA3" w14:textId="77777777" w:rsidR="00F709F6" w:rsidRDefault="00F709F6" w:rsidP="00F709F6">
      <w:pPr>
        <w:pStyle w:val="Szvegtrzs"/>
        <w:spacing w:after="0"/>
        <w:jc w:val="both"/>
      </w:pPr>
      <w:r>
        <w:t>Hatályát veszti a Tiszakécske Város Önkormányzata Képviselő-testületének a közterület elnevezése, emlékmű, szobor és emléktábla állítás rendjéről szóló 4/2014. (II.28.) önkormányzati rendelete.</w:t>
      </w:r>
    </w:p>
    <w:p w14:paraId="24B710ED" w14:textId="77777777" w:rsidR="00F709F6" w:rsidRDefault="00F709F6" w:rsidP="00F709F6">
      <w:pPr>
        <w:jc w:val="both"/>
        <w:rPr>
          <w:rFonts w:eastAsia="Noto Sans CJK SC Regular" w:cs="FreeSans"/>
          <w:kern w:val="2"/>
          <w:lang w:eastAsia="zh-CN" w:bidi="hi-IN"/>
        </w:rPr>
      </w:pPr>
    </w:p>
    <w:p w14:paraId="06F590B2" w14:textId="77777777" w:rsidR="00F709F6" w:rsidRDefault="00F709F6" w:rsidP="00F709F6">
      <w:pPr>
        <w:jc w:val="both"/>
        <w:rPr>
          <w:rFonts w:eastAsia="Noto Sans CJK SC Regular" w:cs="FreeSans"/>
          <w:kern w:val="2"/>
          <w:lang w:eastAsia="zh-CN" w:bidi="hi-IN"/>
        </w:rPr>
      </w:pPr>
      <w:r>
        <w:rPr>
          <w:rFonts w:eastAsia="Noto Sans CJK SC Regular" w:cs="FreeSans"/>
          <w:kern w:val="2"/>
          <w:lang w:eastAsia="zh-CN" w:bidi="hi-IN"/>
        </w:rPr>
        <w:t>Tiszakécske, 2022. szeptember 29.</w:t>
      </w:r>
    </w:p>
    <w:p w14:paraId="15BCC413" w14:textId="77777777" w:rsidR="00F709F6" w:rsidRDefault="00F709F6" w:rsidP="00F709F6">
      <w:pPr>
        <w:jc w:val="both"/>
        <w:rPr>
          <w:rFonts w:eastAsia="Noto Sans CJK SC Regular" w:cs="FreeSans"/>
          <w:kern w:val="2"/>
          <w:lang w:eastAsia="zh-CN" w:bidi="hi-IN"/>
        </w:rPr>
      </w:pPr>
    </w:p>
    <w:p w14:paraId="05BAC45A" w14:textId="07522583" w:rsidR="00F709F6" w:rsidRDefault="00F709F6" w:rsidP="00F709F6">
      <w:pPr>
        <w:jc w:val="both"/>
        <w:rPr>
          <w:rFonts w:eastAsia="Noto Sans CJK SC Regular" w:cs="FreeSans"/>
          <w:kern w:val="2"/>
          <w:lang w:eastAsia="zh-CN" w:bidi="hi-IN"/>
        </w:rPr>
      </w:pPr>
    </w:p>
    <w:p w14:paraId="7575D666" w14:textId="44AEEFA8" w:rsidR="00F709F6" w:rsidRDefault="00F709F6" w:rsidP="00F709F6">
      <w:pPr>
        <w:jc w:val="both"/>
        <w:rPr>
          <w:rFonts w:eastAsia="Noto Sans CJK SC Regular" w:cs="FreeSans"/>
          <w:kern w:val="2"/>
          <w:lang w:eastAsia="zh-CN" w:bidi="hi-IN"/>
        </w:rPr>
      </w:pPr>
    </w:p>
    <w:p w14:paraId="062CC964" w14:textId="77777777" w:rsidR="00F709F6" w:rsidRDefault="00F709F6" w:rsidP="00F709F6">
      <w:pPr>
        <w:jc w:val="both"/>
        <w:rPr>
          <w:rFonts w:eastAsia="Noto Sans CJK SC Regular" w:cs="FreeSans"/>
          <w:kern w:val="2"/>
          <w:lang w:eastAsia="zh-CN" w:bidi="hi-IN"/>
        </w:rPr>
      </w:pPr>
    </w:p>
    <w:p w14:paraId="690B740E" w14:textId="77777777" w:rsidR="00F709F6" w:rsidRDefault="00F709F6" w:rsidP="00F709F6">
      <w:pPr>
        <w:jc w:val="both"/>
        <w:rPr>
          <w:rFonts w:eastAsia="Noto Sans CJK SC Regular" w:cs="FreeSans"/>
          <w:kern w:val="2"/>
          <w:lang w:eastAsia="zh-CN" w:bidi="hi-IN"/>
        </w:rPr>
      </w:pPr>
      <w:r>
        <w:rPr>
          <w:rFonts w:eastAsia="Noto Sans CJK SC Regular" w:cs="FreeSans"/>
          <w:kern w:val="2"/>
          <w:lang w:eastAsia="zh-CN" w:bidi="hi-IN"/>
        </w:rPr>
        <w:tab/>
      </w:r>
      <w:r>
        <w:rPr>
          <w:rFonts w:eastAsia="Noto Sans CJK SC Regular" w:cs="FreeSans"/>
          <w:kern w:val="2"/>
          <w:lang w:eastAsia="zh-CN" w:bidi="hi-IN"/>
        </w:rPr>
        <w:tab/>
      </w:r>
      <w:r>
        <w:rPr>
          <w:rFonts w:eastAsia="Noto Sans CJK SC Regular" w:cs="FreeSans"/>
          <w:kern w:val="2"/>
          <w:lang w:eastAsia="zh-CN" w:bidi="hi-IN"/>
        </w:rPr>
        <w:tab/>
        <w:t>Tóth János</w:t>
      </w:r>
      <w:r>
        <w:rPr>
          <w:rFonts w:eastAsia="Noto Sans CJK SC Regular" w:cs="FreeSans"/>
          <w:kern w:val="2"/>
          <w:lang w:eastAsia="zh-CN" w:bidi="hi-IN"/>
        </w:rPr>
        <w:tab/>
      </w:r>
      <w:r>
        <w:rPr>
          <w:rFonts w:eastAsia="Noto Sans CJK SC Regular" w:cs="FreeSans"/>
          <w:kern w:val="2"/>
          <w:lang w:eastAsia="zh-CN" w:bidi="hi-IN"/>
        </w:rPr>
        <w:tab/>
      </w:r>
      <w:r>
        <w:rPr>
          <w:rFonts w:eastAsia="Noto Sans CJK SC Regular" w:cs="FreeSans"/>
          <w:kern w:val="2"/>
          <w:lang w:eastAsia="zh-CN" w:bidi="hi-IN"/>
        </w:rPr>
        <w:tab/>
        <w:t xml:space="preserve">Gombosné dr. </w:t>
      </w:r>
      <w:proofErr w:type="spellStart"/>
      <w:r>
        <w:rPr>
          <w:rFonts w:eastAsia="Noto Sans CJK SC Regular" w:cs="FreeSans"/>
          <w:kern w:val="2"/>
          <w:lang w:eastAsia="zh-CN" w:bidi="hi-IN"/>
        </w:rPr>
        <w:t>Lipka</w:t>
      </w:r>
      <w:proofErr w:type="spellEnd"/>
      <w:r>
        <w:rPr>
          <w:rFonts w:eastAsia="Noto Sans CJK SC Regular" w:cs="FreeSans"/>
          <w:kern w:val="2"/>
          <w:lang w:eastAsia="zh-CN" w:bidi="hi-IN"/>
        </w:rPr>
        <w:t xml:space="preserve"> Klaudia</w:t>
      </w:r>
    </w:p>
    <w:p w14:paraId="7770223C" w14:textId="77777777" w:rsidR="00F709F6" w:rsidRDefault="00F709F6" w:rsidP="00F709F6">
      <w:pPr>
        <w:jc w:val="both"/>
      </w:pPr>
      <w:r>
        <w:rPr>
          <w:rFonts w:eastAsia="Noto Sans CJK SC Regular" w:cs="FreeSans"/>
          <w:kern w:val="2"/>
          <w:lang w:eastAsia="zh-CN" w:bidi="hi-IN"/>
        </w:rPr>
        <w:tab/>
      </w:r>
      <w:r>
        <w:rPr>
          <w:rFonts w:eastAsia="Noto Sans CJK SC Regular" w:cs="FreeSans"/>
          <w:kern w:val="2"/>
          <w:lang w:eastAsia="zh-CN" w:bidi="hi-IN"/>
        </w:rPr>
        <w:tab/>
      </w:r>
      <w:r>
        <w:rPr>
          <w:rFonts w:eastAsia="Noto Sans CJK SC Regular" w:cs="FreeSans"/>
          <w:kern w:val="2"/>
          <w:lang w:eastAsia="zh-CN" w:bidi="hi-IN"/>
        </w:rPr>
        <w:tab/>
        <w:t>polgármester</w:t>
      </w:r>
      <w:r>
        <w:rPr>
          <w:rFonts w:eastAsia="Noto Sans CJK SC Regular" w:cs="FreeSans"/>
          <w:kern w:val="2"/>
          <w:lang w:eastAsia="zh-CN" w:bidi="hi-IN"/>
        </w:rPr>
        <w:tab/>
      </w:r>
      <w:r>
        <w:rPr>
          <w:rFonts w:eastAsia="Noto Sans CJK SC Regular" w:cs="FreeSans"/>
          <w:kern w:val="2"/>
          <w:lang w:eastAsia="zh-CN" w:bidi="hi-IN"/>
        </w:rPr>
        <w:tab/>
      </w:r>
      <w:r>
        <w:rPr>
          <w:rFonts w:eastAsia="Noto Sans CJK SC Regular" w:cs="FreeSans"/>
          <w:kern w:val="2"/>
          <w:lang w:eastAsia="zh-CN" w:bidi="hi-IN"/>
        </w:rPr>
        <w:tab/>
      </w:r>
      <w:r>
        <w:rPr>
          <w:rFonts w:eastAsia="Noto Sans CJK SC Regular" w:cs="FreeSans"/>
          <w:kern w:val="2"/>
          <w:lang w:eastAsia="zh-CN" w:bidi="hi-IN"/>
        </w:rPr>
        <w:tab/>
        <w:t>jegyző</w:t>
      </w:r>
    </w:p>
    <w:p w14:paraId="5A08F7D7" w14:textId="7F36AE22" w:rsidR="00B90F8D" w:rsidRDefault="00B90F8D"/>
    <w:p w14:paraId="7BC95B9C" w14:textId="77777777" w:rsidR="00F709F6" w:rsidRPr="00F709F6" w:rsidRDefault="00F709F6" w:rsidP="00F709F6">
      <w:pPr>
        <w:suppressAutoHyphens w:val="0"/>
        <w:jc w:val="both"/>
        <w:rPr>
          <w:rFonts w:eastAsia="Calibri"/>
          <w:b/>
          <w:i/>
          <w:kern w:val="2"/>
          <w:lang w:eastAsia="zh-CN" w:bidi="hi-IN"/>
        </w:rPr>
      </w:pPr>
      <w:r w:rsidRPr="00F709F6">
        <w:rPr>
          <w:rFonts w:eastAsia="Calibri"/>
          <w:b/>
          <w:kern w:val="2"/>
          <w:lang w:eastAsia="zh-CN" w:bidi="hi-IN"/>
        </w:rPr>
        <w:t>ZÁRADÉK:</w:t>
      </w:r>
    </w:p>
    <w:p w14:paraId="76CC76B1" w14:textId="77777777" w:rsidR="00F709F6" w:rsidRPr="00F709F6" w:rsidRDefault="00F709F6" w:rsidP="00F709F6">
      <w:pPr>
        <w:suppressAutoHyphens w:val="0"/>
        <w:jc w:val="both"/>
        <w:rPr>
          <w:rFonts w:eastAsia="Calibri"/>
          <w:b/>
          <w:i/>
          <w:kern w:val="2"/>
          <w:lang w:eastAsia="zh-CN" w:bidi="hi-IN"/>
        </w:rPr>
      </w:pPr>
    </w:p>
    <w:p w14:paraId="1CF24A6E" w14:textId="77777777" w:rsidR="00F709F6" w:rsidRPr="00F709F6" w:rsidRDefault="00F709F6" w:rsidP="00F709F6">
      <w:pPr>
        <w:suppressAutoHyphens w:val="0"/>
        <w:jc w:val="both"/>
        <w:rPr>
          <w:rFonts w:eastAsia="Calibri"/>
          <w:b/>
          <w:kern w:val="2"/>
          <w:lang w:eastAsia="zh-CN" w:bidi="hi-IN"/>
        </w:rPr>
      </w:pPr>
      <w:r w:rsidRPr="00F709F6">
        <w:rPr>
          <w:rFonts w:eastAsia="Calibri"/>
          <w:b/>
          <w:kern w:val="2"/>
          <w:lang w:eastAsia="zh-CN" w:bidi="hi-IN"/>
        </w:rPr>
        <w:t>A rendelet kihirdetése a mai napon a Polgármesteri Hivatal hirdetőtábláján való kifüggesztéssel megtörtént.</w:t>
      </w:r>
    </w:p>
    <w:p w14:paraId="161E279E" w14:textId="77777777" w:rsidR="00F709F6" w:rsidRPr="00F709F6" w:rsidRDefault="00F709F6" w:rsidP="00F709F6">
      <w:pPr>
        <w:suppressAutoHyphens w:val="0"/>
        <w:jc w:val="both"/>
        <w:rPr>
          <w:rFonts w:eastAsia="Calibri"/>
          <w:b/>
          <w:i/>
          <w:kern w:val="2"/>
          <w:lang w:eastAsia="zh-CN" w:bidi="hi-IN"/>
        </w:rPr>
      </w:pPr>
    </w:p>
    <w:p w14:paraId="1DE2A115" w14:textId="77777777" w:rsidR="00F709F6" w:rsidRPr="00F709F6" w:rsidRDefault="00F709F6" w:rsidP="00F709F6">
      <w:pPr>
        <w:suppressAutoHyphens w:val="0"/>
        <w:jc w:val="both"/>
        <w:rPr>
          <w:rFonts w:eastAsia="Calibri"/>
          <w:b/>
          <w:kern w:val="2"/>
          <w:lang w:eastAsia="zh-CN" w:bidi="hi-IN"/>
        </w:rPr>
      </w:pPr>
      <w:r w:rsidRPr="00F709F6">
        <w:rPr>
          <w:rFonts w:eastAsia="Calibri"/>
          <w:b/>
          <w:kern w:val="2"/>
          <w:lang w:eastAsia="zh-CN" w:bidi="hi-IN"/>
        </w:rPr>
        <w:t>Tiszakécske, 2022. szeptember 29.</w:t>
      </w:r>
    </w:p>
    <w:p w14:paraId="1A4A5D73" w14:textId="77777777" w:rsidR="00F709F6" w:rsidRPr="00F709F6" w:rsidRDefault="00F709F6" w:rsidP="00F709F6">
      <w:pPr>
        <w:suppressAutoHyphens w:val="0"/>
        <w:spacing w:after="160" w:line="259" w:lineRule="auto"/>
        <w:jc w:val="both"/>
        <w:rPr>
          <w:rFonts w:eastAsia="Calibri"/>
          <w:b/>
          <w:kern w:val="2"/>
          <w:lang w:eastAsia="zh-CN" w:bidi="hi-IN"/>
        </w:rPr>
      </w:pPr>
    </w:p>
    <w:p w14:paraId="31EFCECF" w14:textId="77777777" w:rsidR="00F709F6" w:rsidRPr="00F709F6" w:rsidRDefault="00F709F6" w:rsidP="00F709F6">
      <w:pPr>
        <w:suppressAutoHyphens w:val="0"/>
        <w:spacing w:line="259" w:lineRule="auto"/>
        <w:jc w:val="both"/>
        <w:rPr>
          <w:rFonts w:eastAsia="Calibri"/>
          <w:b/>
          <w:i/>
          <w:kern w:val="2"/>
          <w:lang w:eastAsia="zh-CN" w:bidi="hi-IN"/>
        </w:rPr>
      </w:pP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t xml:space="preserve">Gombosné dr. </w:t>
      </w:r>
      <w:proofErr w:type="spellStart"/>
      <w:r w:rsidRPr="00F709F6">
        <w:rPr>
          <w:rFonts w:eastAsia="Calibri"/>
          <w:b/>
          <w:kern w:val="2"/>
          <w:lang w:eastAsia="zh-CN" w:bidi="hi-IN"/>
        </w:rPr>
        <w:t>Lipka</w:t>
      </w:r>
      <w:proofErr w:type="spellEnd"/>
      <w:r w:rsidRPr="00F709F6">
        <w:rPr>
          <w:rFonts w:eastAsia="Calibri"/>
          <w:b/>
          <w:kern w:val="2"/>
          <w:lang w:eastAsia="zh-CN" w:bidi="hi-IN"/>
        </w:rPr>
        <w:t xml:space="preserve"> Klaudia</w:t>
      </w:r>
    </w:p>
    <w:p w14:paraId="57DDA05B" w14:textId="77777777" w:rsidR="00F709F6" w:rsidRPr="00F709F6" w:rsidRDefault="00F709F6" w:rsidP="00F709F6">
      <w:pPr>
        <w:suppressAutoHyphens w:val="0"/>
        <w:spacing w:line="259" w:lineRule="auto"/>
        <w:jc w:val="both"/>
        <w:rPr>
          <w:rFonts w:eastAsiaTheme="minorHAnsi"/>
          <w:lang w:eastAsia="en-US"/>
        </w:rPr>
      </w:pP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r>
      <w:r w:rsidRPr="00F709F6">
        <w:rPr>
          <w:rFonts w:eastAsia="Calibri"/>
          <w:b/>
          <w:kern w:val="2"/>
          <w:lang w:eastAsia="zh-CN" w:bidi="hi-IN"/>
        </w:rPr>
        <w:tab/>
        <w:t xml:space="preserve">              jegyző</w:t>
      </w:r>
      <w:r w:rsidRPr="00F709F6">
        <w:rPr>
          <w:rFonts w:eastAsia="Calibri"/>
          <w:kern w:val="2"/>
          <w:lang w:eastAsia="zh-CN" w:bidi="hi-IN"/>
        </w:rPr>
        <w:tab/>
      </w:r>
    </w:p>
    <w:p w14:paraId="6FC34004" w14:textId="77777777" w:rsidR="00F709F6" w:rsidRDefault="00F709F6"/>
    <w:sectPr w:rsidR="00F709F6" w:rsidSect="008F461A">
      <w:pgSz w:w="11906" w:h="16838"/>
      <w:pgMar w:top="1418" w:right="1417" w:bottom="1418"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F6"/>
    <w:rsid w:val="00B90F8D"/>
    <w:rsid w:val="00F709F6"/>
    <w:rsid w:val="00FC37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4241"/>
  <w15:chartTrackingRefBased/>
  <w15:docId w15:val="{523BE814-98AE-4990-AA1B-D0080D3B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709F6"/>
    <w:pPr>
      <w:suppressAutoHyphens/>
      <w:spacing w:after="0" w:line="240" w:lineRule="auto"/>
    </w:pPr>
    <w:rPr>
      <w:rFonts w:ascii="Times New Roman" w:eastAsia="Times New Roman" w:hAnsi="Times New Roman" w:cs="Times New Roman"/>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F709F6"/>
    <w:pPr>
      <w:spacing w:after="120"/>
    </w:pPr>
  </w:style>
  <w:style w:type="character" w:customStyle="1" w:styleId="SzvegtrzsChar">
    <w:name w:val="Szövegtörzs Char"/>
    <w:basedOn w:val="Bekezdsalapbettpusa"/>
    <w:link w:val="Szvegtrzs"/>
    <w:rsid w:val="00F709F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1790</Words>
  <Characters>12355</Characters>
  <Application>Microsoft Office Word</Application>
  <DocSecurity>0</DocSecurity>
  <Lines>102</Lines>
  <Paragraphs>28</Paragraphs>
  <ScaleCrop>false</ScaleCrop>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Andrea</dc:creator>
  <cp:keywords/>
  <dc:description/>
  <cp:lastModifiedBy>Major Andrea</cp:lastModifiedBy>
  <cp:revision>2</cp:revision>
  <dcterms:created xsi:type="dcterms:W3CDTF">2022-09-30T07:41:00Z</dcterms:created>
  <dcterms:modified xsi:type="dcterms:W3CDTF">2022-09-30T07:41:00Z</dcterms:modified>
</cp:coreProperties>
</file>