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18C">
        <w:rPr>
          <w:rFonts w:ascii="Times New Roman" w:hAnsi="Times New Roman" w:cs="Times New Roman"/>
          <w:b/>
          <w:bCs/>
          <w:sz w:val="24"/>
          <w:szCs w:val="24"/>
        </w:rPr>
        <w:t>Tiszakécske Város Önkormányzata Képviselő-testületének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14/2020. (VI.29.)</w:t>
      </w:r>
      <w:r w:rsidRPr="0006318C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318C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06318C">
        <w:rPr>
          <w:rFonts w:ascii="Times New Roman" w:hAnsi="Times New Roman" w:cs="Times New Roman"/>
          <w:b/>
          <w:bCs/>
          <w:sz w:val="24"/>
          <w:szCs w:val="24"/>
        </w:rPr>
        <w:t xml:space="preserve"> önkormányzat által az államháztartáson kívüli források átvételéről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és</w:t>
      </w:r>
      <w:r w:rsidRPr="00926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18C">
        <w:rPr>
          <w:rFonts w:ascii="Times New Roman" w:hAnsi="Times New Roman" w:cs="Times New Roman"/>
          <w:b/>
          <w:bCs/>
          <w:sz w:val="24"/>
          <w:szCs w:val="24"/>
        </w:rPr>
        <w:t>az államháztartáson kívülre nyújtott támogatásokról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Pr="00376BE6" w:rsidRDefault="00CC408A" w:rsidP="00CC4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1464">
        <w:rPr>
          <w:rFonts w:ascii="Times New Roman" w:hAnsi="Times New Roman" w:cs="Times New Roman"/>
          <w:sz w:val="24"/>
          <w:szCs w:val="24"/>
        </w:rPr>
        <w:t xml:space="preserve">Tiszakécske Város Önkormányzata Képviselő-testülete a Magyarország helyi önkormányzatairól szóló 2011. évi CLXXXIX. törvény 41. </w:t>
      </w:r>
      <w:proofErr w:type="gramStart"/>
      <w:r w:rsidRPr="00C71464">
        <w:rPr>
          <w:rFonts w:ascii="Times New Roman" w:hAnsi="Times New Roman" w:cs="Times New Roman"/>
          <w:sz w:val="24"/>
          <w:szCs w:val="24"/>
        </w:rPr>
        <w:t>§ (9) bekezdésében kapott felhatalmazás alapján, az Alaptörvény 32. cikk (1) bekezdés a) pontjában meghatározott feladatkörében eljárva a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Tiszakécske Város Önkormányzata Képviselő-</w:t>
      </w:r>
      <w:r w:rsidRPr="00C714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testületének a Tiszakécske Város</w:t>
      </w:r>
      <w:r w:rsidR="00AD0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</w:t>
      </w:r>
      <w:r w:rsidRPr="00C714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Képviselő-testületének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Szervezeti és Működési Szabályzatáról szóló 23/2019.(XI.01.) önkormányzati rendelet 4.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1.1.21. pontjában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véleményezési jogkörében eljáró Pénzügyi, Vagyonhasznosító és Településfejlesztési Bizottság,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1464">
        <w:rPr>
          <w:rFonts w:ascii="Times New Roman" w:hAnsi="Times New Roman" w:cs="Times New Roman"/>
          <w:sz w:val="24"/>
          <w:szCs w:val="24"/>
        </w:rPr>
        <w:t>a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Tiszakécske Város Önkormányzata Képviselő-</w:t>
      </w:r>
      <w:r w:rsidRPr="00C714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testületének a Tiszakécske Város</w:t>
      </w:r>
      <w:r w:rsidR="00AD0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Önkormányzata</w:t>
      </w:r>
      <w:r w:rsidRPr="00C714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Képviselő-testületének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Szervezeti és Működés</w:t>
      </w:r>
      <w:proofErr w:type="gramEnd"/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gramStart"/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Szabályzatáról szóló 23/2019.(XI.01.) önkormányzati rendelet 4.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2.1 pontjában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véleményezési jogkörében eljáró Oktatási, Kulturális és Sport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76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376BE6">
        <w:rPr>
          <w:rFonts w:ascii="Times New Roman" w:hAnsi="Times New Roman" w:cs="Times New Roman"/>
          <w:sz w:val="24"/>
          <w:szCs w:val="24"/>
        </w:rPr>
        <w:t>a Tiszakécske Város Önkormányzata Képviselő-</w:t>
      </w:r>
      <w:r w:rsidRPr="00376BE6">
        <w:rPr>
          <w:rFonts w:ascii="Times New Roman" w:hAnsi="Times New Roman" w:cs="Times New Roman"/>
          <w:color w:val="000000"/>
          <w:sz w:val="24"/>
          <w:szCs w:val="24"/>
        </w:rPr>
        <w:t>testületének</w:t>
      </w:r>
      <w:r w:rsidRPr="0037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6BE6">
        <w:rPr>
          <w:rFonts w:ascii="Times New Roman" w:hAnsi="Times New Roman" w:cs="Times New Roman"/>
          <w:sz w:val="24"/>
          <w:szCs w:val="24"/>
        </w:rPr>
        <w:t>Tiszakécske Város Önkormányzata Képviselő-</w:t>
      </w:r>
      <w:r w:rsidRPr="00376BE6">
        <w:rPr>
          <w:rFonts w:ascii="Times New Roman" w:hAnsi="Times New Roman" w:cs="Times New Roman"/>
          <w:color w:val="000000"/>
          <w:sz w:val="24"/>
          <w:szCs w:val="24"/>
        </w:rPr>
        <w:t xml:space="preserve">testületének </w:t>
      </w:r>
      <w:r w:rsidRPr="00376BE6">
        <w:rPr>
          <w:rFonts w:ascii="Times New Roman" w:hAnsi="Times New Roman" w:cs="Times New Roman"/>
          <w:sz w:val="24"/>
          <w:szCs w:val="24"/>
        </w:rPr>
        <w:t>Szervezeti és Működési Szabályzatáról szóló 23/2019.(XI.01.) önkormányzati rendelet 4. melléklet 3.1. pontjában biztosított véleményezési jogkörében eljáró Egészségügyi, Szociális, Családvédelmi és Esélyegyenlőségi Bizottság</w:t>
      </w:r>
      <w:r w:rsidRPr="00376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véleményének kikérésével a következőket rendeli el:</w:t>
      </w:r>
      <w:proofErr w:type="gramEnd"/>
    </w:p>
    <w:p w:rsidR="00CC408A" w:rsidRPr="00376BE6" w:rsidRDefault="00CC408A" w:rsidP="00CC40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6BE6">
        <w:rPr>
          <w:rFonts w:ascii="Times New Roman" w:hAnsi="Times New Roman" w:cs="Times New Roman"/>
          <w:b/>
          <w:bCs/>
          <w:iCs/>
          <w:sz w:val="24"/>
          <w:szCs w:val="24"/>
        </w:rPr>
        <w:t>A rendelet hatálya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08A" w:rsidRPr="00376BE6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E6">
        <w:rPr>
          <w:rFonts w:ascii="Times New Roman" w:hAnsi="Times New Roman" w:cs="Times New Roman"/>
          <w:b/>
          <w:sz w:val="24"/>
          <w:szCs w:val="24"/>
        </w:rPr>
        <w:t>1. §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8C">
        <w:rPr>
          <w:rFonts w:ascii="Times New Roman" w:hAnsi="Times New Roman" w:cs="Times New Roman"/>
          <w:sz w:val="24"/>
          <w:szCs w:val="24"/>
        </w:rPr>
        <w:t>(1) A rendelet tárgyi hatálya kiterjed minden, az államháztartáson kívüli forrás átvételére és – a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18C">
        <w:rPr>
          <w:rFonts w:ascii="Times New Roman" w:hAnsi="Times New Roman" w:cs="Times New Roman"/>
          <w:sz w:val="24"/>
          <w:szCs w:val="24"/>
        </w:rPr>
        <w:t>) bekezdésben meghatározott kivétellel – az önkormányzat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8C">
        <w:rPr>
          <w:rFonts w:ascii="Times New Roman" w:hAnsi="Times New Roman" w:cs="Times New Roman"/>
          <w:sz w:val="24"/>
          <w:szCs w:val="24"/>
        </w:rPr>
        <w:t>államháztartáson kívülre nyújtott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8C">
        <w:rPr>
          <w:rFonts w:ascii="Times New Roman" w:hAnsi="Times New Roman" w:cs="Times New Roman"/>
          <w:sz w:val="24"/>
          <w:szCs w:val="24"/>
        </w:rPr>
        <w:t>pénzbeli támogatásra.</w:t>
      </w:r>
    </w:p>
    <w:p w:rsidR="00CC408A" w:rsidRDefault="00CC408A" w:rsidP="00CC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személyi hatálya kiterjed minden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személy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, jogi személy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jogi személyiséggel nem rendelkező gazdálkodó szervezet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vallási közösség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, civil szervezet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(a továbbiakban: támogatott),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akinek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amely részére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Tiszakécske Város Önkormányzata (a továbbiakban: Önkormányzat)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nem normatív, céljellegű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felhalmozási,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működési) pénzügyi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támogatás)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illetve akitől vagy amelytől az Önkormányzat államháztartáson kívüli forrást vesz át.</w:t>
      </w: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18C">
        <w:rPr>
          <w:rFonts w:ascii="Times New Roman" w:hAnsi="Times New Roman" w:cs="Times New Roman"/>
          <w:sz w:val="24"/>
          <w:szCs w:val="24"/>
        </w:rPr>
        <w:t xml:space="preserve">) A rendelet hatálya nem terjed ki </w:t>
      </w:r>
    </w:p>
    <w:p w:rsidR="00CC408A" w:rsidRDefault="00CC408A" w:rsidP="00CC408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73">
        <w:rPr>
          <w:rFonts w:ascii="Times New Roman" w:hAnsi="Times New Roman" w:cs="Times New Roman"/>
          <w:sz w:val="24"/>
          <w:szCs w:val="24"/>
        </w:rPr>
        <w:t>a szociális ellátásokra, a szociálisan rászorultak részére megállapított pénzbeli támogatásokra,</w:t>
      </w:r>
    </w:p>
    <w:p w:rsidR="00CC408A" w:rsidRPr="00E54073" w:rsidRDefault="00CC408A" w:rsidP="00CC408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73">
        <w:rPr>
          <w:rFonts w:ascii="Times New Roman" w:hAnsi="Times New Roman" w:cs="Times New Roman"/>
          <w:sz w:val="24"/>
          <w:szCs w:val="24"/>
        </w:rPr>
        <w:t xml:space="preserve"> a külön önkormányzati rendeletben szabályozott, az önkormányzat által államháztartáson kívülre nyújtott pénzbeli támogatásra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8A" w:rsidRDefault="00CC408A" w:rsidP="00CC40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407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közfeladat ellátására kötött megállapodás (közszolgáltatási szerződés) keretében megkötött szerződésekre.</w:t>
      </w:r>
    </w:p>
    <w:p w:rsidR="00CC408A" w:rsidRDefault="00CC408A" w:rsidP="00CC408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EF5" w:rsidRDefault="00271EF5" w:rsidP="00CC408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EF5" w:rsidRDefault="00271EF5" w:rsidP="00CC408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1EF5" w:rsidRPr="00E54073" w:rsidRDefault="00271EF5" w:rsidP="00CC408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C408A" w:rsidRDefault="00CC408A" w:rsidP="00CC40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073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államháztartáson kívüli forrás átvételének szabályai</w:t>
      </w:r>
    </w:p>
    <w:p w:rsidR="00CC408A" w:rsidRPr="00E54073" w:rsidRDefault="00CC408A" w:rsidP="00CC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Pr="00E54073" w:rsidRDefault="00CC408A" w:rsidP="00CC408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54073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8C">
        <w:rPr>
          <w:rFonts w:ascii="Times New Roman" w:hAnsi="Times New Roman" w:cs="Times New Roman"/>
          <w:sz w:val="24"/>
          <w:szCs w:val="24"/>
        </w:rPr>
        <w:t>(1) Államháztartáson kívüli forrás átvételéről a Képviselő-testület dönt.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8C">
        <w:rPr>
          <w:rFonts w:ascii="Times New Roman" w:hAnsi="Times New Roman" w:cs="Times New Roman"/>
          <w:sz w:val="24"/>
          <w:szCs w:val="24"/>
        </w:rPr>
        <w:t>(2) Átvételre felajánlott ingó vagy ingatlan vagyon esetében a döntés meghozatalához be kell mutatni annak forgalmi érték</w:t>
      </w:r>
      <w:r w:rsidR="00AD0796">
        <w:rPr>
          <w:rFonts w:ascii="Times New Roman" w:hAnsi="Times New Roman" w:cs="Times New Roman"/>
          <w:sz w:val="24"/>
          <w:szCs w:val="24"/>
        </w:rPr>
        <w:t>é</w:t>
      </w:r>
      <w:r w:rsidRPr="0006318C">
        <w:rPr>
          <w:rFonts w:ascii="Times New Roman" w:hAnsi="Times New Roman" w:cs="Times New Roman"/>
          <w:sz w:val="24"/>
          <w:szCs w:val="24"/>
        </w:rPr>
        <w:t>t, a vagyon működtetésével, fenntartásával kapcsolatos költségeket és egyéb kötelezettségeket legalább egy évre vonatkozóan, továbbá javaslatot kell tenni a hasznosítás mikéntjére.</w:t>
      </w:r>
    </w:p>
    <w:p w:rsidR="00CC408A" w:rsidRPr="00D20AEA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EA">
        <w:rPr>
          <w:rFonts w:ascii="Times New Roman" w:hAnsi="Times New Roman" w:cs="Times New Roman"/>
          <w:iCs/>
          <w:sz w:val="24"/>
          <w:szCs w:val="24"/>
        </w:rPr>
        <w:t>(3) A forgalmi érték meghatározásához ingatlan esetében ingatlanforgalmi szakértői</w:t>
      </w:r>
    </w:p>
    <w:p w:rsidR="00CC408A" w:rsidRPr="00D20AEA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véleményt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ingó esetében tárgyszakértői véleményt kell beszerezni.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376BE6" w:rsidRDefault="00CC408A" w:rsidP="00CC40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á</w:t>
      </w:r>
      <w:r w:rsidRPr="00376BE6">
        <w:rPr>
          <w:rFonts w:ascii="Times New Roman" w:hAnsi="Times New Roman" w:cs="Times New Roman"/>
          <w:b/>
          <w:bCs/>
          <w:sz w:val="24"/>
          <w:szCs w:val="24"/>
        </w:rPr>
        <w:t>llamháztartáson kívülre nyújtott támogatás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forrása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D20AE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EA">
        <w:rPr>
          <w:rFonts w:ascii="Times New Roman" w:hAnsi="Times New Roman" w:cs="Times New Roman"/>
          <w:b/>
          <w:sz w:val="24"/>
          <w:szCs w:val="24"/>
        </w:rPr>
        <w:t>3. §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8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6318C">
        <w:rPr>
          <w:rFonts w:ascii="Times New Roman" w:hAnsi="Times New Roman" w:cs="Times New Roman"/>
          <w:sz w:val="24"/>
          <w:szCs w:val="24"/>
        </w:rPr>
        <w:t>nkormányzat tárgyévi költségvetési rendeletében határozza meg azon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8C">
        <w:rPr>
          <w:rFonts w:ascii="Times New Roman" w:hAnsi="Times New Roman" w:cs="Times New Roman"/>
          <w:sz w:val="24"/>
          <w:szCs w:val="24"/>
        </w:rPr>
        <w:t>költségvetési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8C">
        <w:rPr>
          <w:rFonts w:ascii="Times New Roman" w:hAnsi="Times New Roman" w:cs="Times New Roman"/>
          <w:sz w:val="24"/>
          <w:szCs w:val="24"/>
        </w:rPr>
        <w:t>előirányzatait, amelyek terhére felhalmozási</w:t>
      </w:r>
      <w:r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06318C">
        <w:rPr>
          <w:rFonts w:ascii="Times New Roman" w:hAnsi="Times New Roman" w:cs="Times New Roman"/>
          <w:sz w:val="24"/>
          <w:szCs w:val="24"/>
        </w:rPr>
        <w:t>működési célú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8C">
        <w:rPr>
          <w:rFonts w:ascii="Times New Roman" w:hAnsi="Times New Roman" w:cs="Times New Roman"/>
          <w:sz w:val="24"/>
          <w:szCs w:val="24"/>
        </w:rPr>
        <w:t>támogatás nyújtható.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D938E4" w:rsidRDefault="00CC408A" w:rsidP="00CC40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8E4">
        <w:rPr>
          <w:rFonts w:ascii="Times New Roman" w:hAnsi="Times New Roman" w:cs="Times New Roman"/>
          <w:b/>
          <w:bCs/>
          <w:sz w:val="24"/>
          <w:szCs w:val="24"/>
        </w:rPr>
        <w:t>A támogatás odaítélése</w:t>
      </w:r>
      <w:r>
        <w:rPr>
          <w:rFonts w:ascii="Times New Roman" w:hAnsi="Times New Roman" w:cs="Times New Roman"/>
          <w:b/>
          <w:bCs/>
          <w:sz w:val="24"/>
          <w:szCs w:val="24"/>
        </w:rPr>
        <w:t>, a támogatási szerződés és a támogatási összeg kifizetése</w:t>
      </w: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Pr="00D938E4" w:rsidRDefault="00CC408A" w:rsidP="00CC408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4.§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D938E4" w:rsidRDefault="00CC408A" w:rsidP="00CC408A">
      <w:pPr>
        <w:pStyle w:val="Listaszerbekezds"/>
        <w:numPr>
          <w:ilvl w:val="0"/>
          <w:numId w:val="3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támogatást csak írásbeli kérelemre, a kérelemben megfogalmazott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 Önkormányzat céljaival megegyező</w:t>
      </w: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célok megvalósítás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ára</w:t>
      </w: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alapján</w:t>
      </w: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által kiírt pályázatban rögzített célkitűzések teljesítése érdekében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408A" w:rsidRPr="00D938E4" w:rsidRDefault="00CC408A" w:rsidP="00CC408A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Default="00CC408A" w:rsidP="00CC408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kifizetésére kizárólag a megkötött támogatási szerződés alapján kerülhet sor.</w:t>
      </w:r>
    </w:p>
    <w:p w:rsidR="00CC408A" w:rsidRPr="00926501" w:rsidRDefault="00CC408A" w:rsidP="00CC408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Default="00CC408A" w:rsidP="00CC408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szerződést a támogatást megítélő döntés meghozatalát követő 90 napon belül, pályázat alapján nyújtott támogatás esetén a pályázati felhívásban szereplő határidőn belül meg kell kötni.</w:t>
      </w:r>
    </w:p>
    <w:p w:rsidR="00CC408A" w:rsidRPr="00926501" w:rsidRDefault="00CC408A" w:rsidP="00CC408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Default="00CC408A" w:rsidP="00CC408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támogatott önhibájából eredő oknál fogva a támogatási szerződés a (3) bekezdésben meghatározott határidőn belül nem kerül megkötésre, a támogatási döntést meghozó szerv a támogatást visszavonja.</w:t>
      </w: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C408A" w:rsidRPr="00D938E4" w:rsidRDefault="00CC408A" w:rsidP="00CC408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D938E4" w:rsidRDefault="00CC408A" w:rsidP="00CC408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jogszabályokban meghatározott eseteken túl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nyújtható támogatás olyan személyeknek</w:t>
      </w:r>
    </w:p>
    <w:p w:rsidR="00CC408A" w:rsidRPr="00D938E4" w:rsidRDefault="00CC408A" w:rsidP="00CC408A">
      <w:pPr>
        <w:pStyle w:val="Listaszerbekezds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akinek lejárt, 60 napon túl meg nem fizetett köztartozása van, a köztartozás megfizetéséig, </w:t>
      </w:r>
    </w:p>
    <w:p w:rsidR="00CC408A" w:rsidRPr="00D938E4" w:rsidRDefault="00CC408A" w:rsidP="00CC408A">
      <w:pPr>
        <w:pStyle w:val="Listaszerbekezds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>b) akinek az Önkormányzattal szemben fennálló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lejárt</w:t>
      </w: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tartozása van, a tartozás megfizetéséig,</w:t>
      </w:r>
    </w:p>
    <w:p w:rsidR="00CC408A" w:rsidRPr="00D938E4" w:rsidRDefault="00CC408A" w:rsidP="00CC408A">
      <w:pPr>
        <w:pStyle w:val="Listaszerbekezds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aki az Önkormányzat által korábban nyújtott támogatással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szerződésben meghatározott elszámolási határidőig </w:t>
      </w: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számolt el, az elszámolás teljesítéséig, </w:t>
      </w:r>
    </w:p>
    <w:p w:rsidR="00CC408A" w:rsidRDefault="00CC408A" w:rsidP="00CC408A">
      <w:pPr>
        <w:pStyle w:val="Listaszerbekezds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38E4">
        <w:rPr>
          <w:rFonts w:ascii="Times New Roman" w:eastAsia="Times New Roman" w:hAnsi="Times New Roman" w:cs="Times New Roman"/>
          <w:sz w:val="24"/>
          <w:szCs w:val="24"/>
          <w:lang w:eastAsia="hu-HU"/>
        </w:rPr>
        <w:t>d) aki csőd-, felszámolási vagy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égelszámolási eljárás alatt áll,</w:t>
      </w:r>
    </w:p>
    <w:p w:rsidR="00CC408A" w:rsidRPr="00D938E4" w:rsidRDefault="00CC408A" w:rsidP="00CC408A">
      <w:pPr>
        <w:pStyle w:val="Listaszerbekezds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aki a nemzeti vagyonról szóló 2011. évi CXCVI. törvény 3. § (1) bekezdés </w:t>
      </w:r>
      <w:r w:rsidR="00AD079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fogalom alapján nem minősül átlátható szervezetnek.</w:t>
      </w:r>
    </w:p>
    <w:p w:rsidR="00CC408A" w:rsidRPr="00D938E4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támogatási szerződésnek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tartalmaznia kell</w:t>
      </w:r>
    </w:p>
    <w:p w:rsidR="00CC408A" w:rsidRPr="00926501" w:rsidRDefault="00CC408A" w:rsidP="00CC40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célját, </w:t>
      </w:r>
    </w:p>
    <w:p w:rsidR="00CC408A" w:rsidRPr="00926501" w:rsidRDefault="00CC408A" w:rsidP="00CC40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50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összegét,</w:t>
      </w:r>
    </w:p>
    <w:p w:rsidR="00CC408A" w:rsidRPr="00926501" w:rsidRDefault="00CC408A" w:rsidP="00CC40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501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kifizetés ütemezését,</w:t>
      </w:r>
    </w:p>
    <w:p w:rsidR="00CC408A" w:rsidRPr="00926501" w:rsidRDefault="00CC408A" w:rsidP="00CC40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50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 helyét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C408A" w:rsidRPr="00926501" w:rsidRDefault="00CC408A" w:rsidP="00CC40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50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összeg felhasználásának határidejét,</w:t>
      </w:r>
    </w:p>
    <w:p w:rsidR="00CC408A" w:rsidRPr="00F1485C" w:rsidRDefault="00CC408A" w:rsidP="00CC408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határidejét és módját. </w:t>
      </w:r>
    </w:p>
    <w:p w:rsidR="00CC408A" w:rsidRDefault="00CC408A" w:rsidP="00CC408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támogatás kifizetése történhet utólagos elszámolás mellett előfinanszírozás, vagy beszámolást követő utófinanszírozás formájában. 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támogatási összeg kifizetése történhet egy összegben, vagy részletekben, ez utóbbi lehet időarányos, vagy igazolt részteljesítéshez kötött.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támogatás kifizetése saját forrás vagy egyéb forrásból juttatott támogatás meglétéhez köthető. Ezen forrás meglétéről a támogatottnak a támogatási szerződés megkötésével egyidejűleg írásban nyilatkozatot kell tennie.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C408A" w:rsidRPr="0006318C" w:rsidRDefault="00CC408A" w:rsidP="00CC408A">
      <w:pPr>
        <w:spacing w:after="0" w:line="240" w:lineRule="auto"/>
        <w:ind w:left="-1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Támogatott köteles az adataiban bekövetkezett valamennyi változásról, valamint a támogatási szerződést, illetve annak feltételeit érintő valamennyi változásról a tudomására jutástól számított 8 napon belül írásban az Önkormányzatot tájékoztatni, a változás tényét és időpontját igazoló dokumentumok becsatolása mellett. 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Default="00CC408A" w:rsidP="00CC408A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támogatási szerződés módosítására a támogatási döntést meghozó szerv jogosult, a támogatottnak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felhasználási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 lejárta előtt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beadott írásos kérelmére.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kiírás esetén a támogatási szerződés módosítására csak abban az esetben van lehetőség, ha ezt a pályázati kiírás alapján a támogatott tevékenység az így módosított feltételekkel is támogatható lett volna.</w:t>
      </w:r>
    </w:p>
    <w:p w:rsidR="00CC408A" w:rsidRDefault="00CC408A" w:rsidP="00CC408A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Default="00CC408A" w:rsidP="00CC408A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left="-1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C408A" w:rsidRPr="0006318C" w:rsidRDefault="00CC408A" w:rsidP="00CC408A">
      <w:pPr>
        <w:spacing w:after="0" w:line="240" w:lineRule="auto"/>
        <w:ind w:left="-1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jogszabályban vagy a támogatási szerződésben megjelölt egyéb esetek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 támogatási szerződést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egyoldalú jognyilatkozattal felbontani, vagy megszüntetni. Ilyen eset különösen, ha</w:t>
      </w:r>
    </w:p>
    <w:p w:rsidR="00CC408A" w:rsidRPr="0006318C" w:rsidRDefault="00CC408A" w:rsidP="00CC408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hitelt érdemlően bebizonyosodik, hogy támogatott a támogat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ási szerződést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érdemben befolyásoló valótlan, hamis adatot szolgáltatott vagy ilyen nyilatkozatot tett,</w:t>
      </w:r>
    </w:p>
    <w:p w:rsidR="00CC408A" w:rsidRPr="0006318C" w:rsidRDefault="00CC408A" w:rsidP="00CC408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támogatott a támogatási összeg felhasználásának ellenőrzését megakadályozza, </w:t>
      </w:r>
    </w:p>
    <w:p w:rsidR="00CC408A" w:rsidRPr="0006318C" w:rsidRDefault="00CC408A" w:rsidP="00CC408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támogatási összeg felhasználására nem a támogatási szerződésben rögzített célok érdekében kerül sor,</w:t>
      </w:r>
    </w:p>
    <w:p w:rsidR="00CC408A" w:rsidRPr="0006318C" w:rsidRDefault="00CC408A" w:rsidP="00CC408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támogatott tevékenység megvalósítása meghiúsul, vagy tartós akadályba ütközik,</w:t>
      </w:r>
    </w:p>
    <w:p w:rsidR="00CC408A" w:rsidRDefault="00CC408A" w:rsidP="00CC408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támogatott a támogatási szerződés rende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lkezéseit egyéb módon megszegi,</w:t>
      </w:r>
    </w:p>
    <w:p w:rsidR="00CC408A" w:rsidRPr="0021075A" w:rsidRDefault="00CC408A" w:rsidP="00CC408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075A">
        <w:rPr>
          <w:rFonts w:ascii="Times New Roman" w:eastAsia="Calibri" w:hAnsi="Times New Roman" w:cs="Times New Roman"/>
          <w:sz w:val="24"/>
          <w:szCs w:val="24"/>
        </w:rPr>
        <w:t>f</w:t>
      </w:r>
      <w:proofErr w:type="gramEnd"/>
      <w:r w:rsidRPr="0021075A">
        <w:rPr>
          <w:rFonts w:ascii="Times New Roman" w:eastAsia="Calibri" w:hAnsi="Times New Roman" w:cs="Times New Roman"/>
          <w:sz w:val="24"/>
          <w:szCs w:val="24"/>
        </w:rPr>
        <w:t>) támogatott a támogatási szerződés megkötését követően beállott körülmény folytán már nem minősül átlátható szervezetnek.</w:t>
      </w:r>
    </w:p>
    <w:p w:rsidR="00CC408A" w:rsidRPr="0006318C" w:rsidRDefault="00CC408A" w:rsidP="00CC408A">
      <w:pPr>
        <w:spacing w:after="0" w:line="240" w:lineRule="auto"/>
        <w:ind w:left="-11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támogatási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egyoldalú jognyilatkozattal történő felbontásáról vagy megszüntetéséről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döntést hozó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 jogosult dönteni.</w:t>
      </w:r>
    </w:p>
    <w:p w:rsidR="00CC408A" w:rsidRPr="0006318C" w:rsidRDefault="00CC408A" w:rsidP="00CC408A">
      <w:pPr>
        <w:spacing w:after="0" w:line="240" w:lineRule="auto"/>
        <w:ind w:left="-1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támogatások felhasználása és ennek ellenőrzése</w:t>
      </w:r>
    </w:p>
    <w:p w:rsidR="00CC408A" w:rsidRPr="0006318C" w:rsidRDefault="00CC408A" w:rsidP="00CC408A">
      <w:pPr>
        <w:keepNext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(1) Támogatott a támogatási összeget kizárólag a támogatási szerződésben megjelölt célokra fordíthatja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támogatási összeget hatékonyan, költségtakarékosan, a támogatott közösségi célok megvalósítása érdekében felhasználni.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Támogatott a támogatásról vagy annak egy részéről írásban, a támogatás felhasználási határidejének lejártát megelőzően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 felhasználási időszakot követően az elszámolási határidő végéig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polgármesternek küldött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egyoldalú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nyilatkozatával lemondhat. Ebben az esetben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Törvénykönyvről szóló 2013. évi V. törvény szerinti kamatokkal együtt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összeget vagy annak fel nem használt részét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támogatott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az Önkormányzat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lemondást követő 15 napon belül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visszafizetni.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jogosult a támogatás felhasználását bármikor ellenőrizni, ennek során az ellenőrzéshez szükséges adatokat bekérni, illetve helyszíni ellenőrzést tartani. Támogatott köteles az ellenőrzés lefolytatásához szükséges tájékoztatást megadni, a vonatkozó pénzügyi, számviteli, leltári, valamint a felhasználásra vonatkozó egyéb nyilvántartásokat az ellenőrzést végző személy részére a vizsgálat céljából rendelkezésre bocsátani. </w:t>
      </w:r>
    </w:p>
    <w:p w:rsidR="00CC408A" w:rsidRPr="0006318C" w:rsidRDefault="00CC408A" w:rsidP="00CC408A">
      <w:pPr>
        <w:spacing w:after="0" w:line="240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Támogatott köteles a támogatási összeg felhasználására vonatkozó dokumentumokat elkülönítetten kezelni, és azokat az elszámolási határidőt követő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évig teljes körűen megőrizni.</w:t>
      </w:r>
    </w:p>
    <w:p w:rsidR="00CC408A" w:rsidRPr="0006318C" w:rsidRDefault="00CC408A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8A" w:rsidRPr="0006318C" w:rsidRDefault="00CC408A" w:rsidP="00CC408A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támogatások elszámolása</w:t>
      </w:r>
    </w:p>
    <w:p w:rsidR="00CC408A" w:rsidRPr="0006318C" w:rsidRDefault="00CC408A" w:rsidP="00CC408A">
      <w:pPr>
        <w:keepNext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támogatási összegek felhasználásával kapcsolatos elszámolást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Tiszakécske polgármesteréhez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benyújtani. Az elszámolás részletes szabályait a támogatási szerződés határozza meg. 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 támogatott számára önrész megléte is előírásra került, akkor a támogatottnak a támogatási összeg mellett az önerő teljes összegének felhasználásával is el kell számolnia.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Amennyiben a támogatott az elszámolást határidőben nem, vagy hiányosan adja be, a polgármester a támogatottat 30 napon belül hiánypótlásra szólítja fel, a kézhezvételtől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 határidővel.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Amennyiben támogatott az elszámolást a hiánypótlási felhívást követően sem nyújtja be, a támogatás összegét a támogatás folyósításától számított,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olgári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örvénykönyvről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évi V.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szerinti kamatokkal együtt az Önkormányzat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támogatási döntést hozó szerv által a visszafizetésre vonatkozó felhívás kézhezvételétől számított 15 napon belül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 kell fizetnie. </w:t>
      </w:r>
    </w:p>
    <w:p w:rsidR="00CC408A" w:rsidRPr="006244A8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4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támogatási összeg felhasználásával kapcsolatos elszámolást minden esetben külön döntéssel kell elfogadni vagy elutasítani.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döntésre </w:t>
      </w:r>
      <w:r w:rsidRPr="006244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döntést hozó szerv jogosult. </w:t>
      </w:r>
      <w:r w:rsidRPr="006244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elszámolást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elutasító döntésben a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foglalt kötelezettségről is rendelkezni kell.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támogatás jogosulatlan igénybevétele, jogszabálysértő vagy nem rendeltetésszerű felhasználása, továbbá a támogatási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egyoldalú jognyilatkozattal történő felbontása vagy megszüntetése esetén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támogatottnak a jogosulatlanul igénybe vett támogatás összegét a támogatás folyósításától számított, a polgári törvénykönyvről szóló törvény szerinti kamatokkal együtt az Önkormányzat részére vissza kell fizetni, az erre vonatkozó felhívás kézhezvételétől számított 15 napon belül. 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(7) Szerződésszegés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támogatási döntést hozó szerv 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támogatottat legfeljebb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</w:t>
      </w: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évre kizárhatja az Önkormányzat által biztosított támogatási lehetőségekből.</w:t>
      </w:r>
    </w:p>
    <w:p w:rsidR="00CC408A" w:rsidRPr="0006318C" w:rsidRDefault="00CC408A" w:rsidP="00CC408A">
      <w:pPr>
        <w:keepNext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támogatások nyilvántartása, közzététele</w:t>
      </w:r>
    </w:p>
    <w:p w:rsidR="00CC408A" w:rsidRPr="0006318C" w:rsidRDefault="00CC408A" w:rsidP="00CC408A">
      <w:pPr>
        <w:keepNext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0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C408A" w:rsidRPr="0006318C" w:rsidRDefault="00CC408A" w:rsidP="00CC408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1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szerződések nyilvántartásáról és a támogatásokkal kapcsolatosan jogszabályokban rögzített közzétételi kötelezettségek teljesítéséről a jegyző gondoskodik.</w:t>
      </w: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Záró rendelkezések</w:t>
      </w: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§</w:t>
      </w: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Default="00CC408A" w:rsidP="00CC408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E6">
        <w:rPr>
          <w:rFonts w:ascii="Times New Roman" w:hAnsi="Times New Roman" w:cs="Times New Roman"/>
          <w:sz w:val="24"/>
          <w:szCs w:val="24"/>
        </w:rPr>
        <w:t>Ez a rendelet 2020. július 1-jén lép hatályba.</w:t>
      </w:r>
    </w:p>
    <w:p w:rsidR="00CC408A" w:rsidRPr="003049D0" w:rsidRDefault="00CC408A" w:rsidP="00CC408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BE6">
        <w:rPr>
          <w:rFonts w:ascii="Times New Roman" w:hAnsi="Times New Roman" w:cs="Times New Roman"/>
          <w:sz w:val="24"/>
          <w:szCs w:val="24"/>
        </w:rPr>
        <w:t>A Tiszakécske Város Önkormányzata Képviselő-testületének Tiszakécske Város Önkormányzata Képviselő-testületének Szervezeti és Működési Szabályzatáról szóló 23/2019. (</w:t>
      </w:r>
      <w:proofErr w:type="gramStart"/>
      <w:r w:rsidRPr="00376BE6">
        <w:rPr>
          <w:rFonts w:ascii="Times New Roman" w:hAnsi="Times New Roman" w:cs="Times New Roman"/>
          <w:sz w:val="24"/>
          <w:szCs w:val="24"/>
        </w:rPr>
        <w:t>XI.01.) önkormányzati rendelet 5. melléklet 2.1. pontjában az „az önkormányzat költségvetési rendeletében meghatározott sportcélú, valamint kulturális egyesületek tartalékkeretének felhasználásáról” szövegrész helyébe a „</w:t>
      </w:r>
      <w:proofErr w:type="spellStart"/>
      <w:r w:rsidRPr="00376B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76BE6">
        <w:rPr>
          <w:rFonts w:ascii="Times New Roman" w:hAnsi="Times New Roman" w:cs="Times New Roman"/>
          <w:sz w:val="24"/>
          <w:szCs w:val="24"/>
        </w:rPr>
        <w:t xml:space="preserve"> Képviselő-testület által a sportcélú, valamint kulturális egyesületek</w:t>
      </w:r>
      <w:r>
        <w:rPr>
          <w:rFonts w:ascii="Times New Roman" w:hAnsi="Times New Roman" w:cs="Times New Roman"/>
          <w:sz w:val="24"/>
          <w:szCs w:val="24"/>
        </w:rPr>
        <w:t>, egyéb civil szervezetek</w:t>
      </w:r>
      <w:r w:rsidRPr="00376BE6">
        <w:rPr>
          <w:rFonts w:ascii="Times New Roman" w:hAnsi="Times New Roman" w:cs="Times New Roman"/>
          <w:sz w:val="24"/>
          <w:szCs w:val="24"/>
        </w:rPr>
        <w:t xml:space="preserve"> támogatására kiírt pályázati felhívásban megjelölt tartalékkeret felhasználására beadott pályázatok támogatásáról</w:t>
      </w:r>
      <w:r>
        <w:rPr>
          <w:rFonts w:ascii="Times New Roman" w:hAnsi="Times New Roman" w:cs="Times New Roman"/>
          <w:sz w:val="24"/>
          <w:szCs w:val="24"/>
        </w:rPr>
        <w:t>, és ezen pályázatok esetében meghozza azon döntéseket, amelyeket az államháztartáson kívüli források átvételéről és az államháztartáson kívülre nyújtott támogatásokról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szóló önkormányzati rendelet a támogatás</w:t>
      </w:r>
      <w:r w:rsidR="00AD07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döntést hozó szerv hatáskörébe utal</w:t>
      </w:r>
      <w:r w:rsidRPr="00376BE6">
        <w:rPr>
          <w:rFonts w:ascii="Times New Roman" w:hAnsi="Times New Roman" w:cs="Times New Roman"/>
          <w:sz w:val="24"/>
          <w:szCs w:val="24"/>
        </w:rPr>
        <w:t>” szöveg lép.</w:t>
      </w:r>
    </w:p>
    <w:p w:rsidR="00CC408A" w:rsidRPr="00EB62A5" w:rsidRDefault="00CC408A" w:rsidP="00CC408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Hatályát veszti Tiszakécske város Képviselő-testületének a sportról szóló 8/2014. (III.23.) KR számú rendelet 9. § (1) bekezdésében a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támogatás felosztását a Képviselő-testület külön szabályzatban határozza meg” szövegrész.</w:t>
      </w:r>
    </w:p>
    <w:p w:rsidR="00CC408A" w:rsidRDefault="00CC408A" w:rsidP="00CC408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Hatályát veszti a Tiszakécske Város Önkormányzata Képviselő-testületének a közművelődésről szóló 4/2019. (II.28.) önkormányzati rendelet 6. § (3) bekezdésében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„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amelynek elosztása a Képviselő-testület által jóváhagyott szabályzat szerint történik” szövegrész.</w:t>
      </w:r>
    </w:p>
    <w:p w:rsidR="00CC408A" w:rsidRDefault="00CC408A" w:rsidP="00CC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8A" w:rsidRPr="00C71464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Tiszakécske, 2020.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 29.</w:t>
      </w:r>
    </w:p>
    <w:p w:rsidR="00CC408A" w:rsidRPr="00C71464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08A" w:rsidRPr="00C71464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Tóth János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Gombosné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>Lipka</w:t>
      </w:r>
      <w:proofErr w:type="spellEnd"/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Klaudia</w:t>
      </w:r>
    </w:p>
    <w:p w:rsidR="00CC408A" w:rsidRPr="0006318C" w:rsidRDefault="00CC408A" w:rsidP="00CC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1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jegyző</w:t>
      </w:r>
    </w:p>
    <w:p w:rsid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408A" w:rsidRP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ZÁRADÉK:</w:t>
      </w:r>
    </w:p>
    <w:p w:rsidR="00CC408A" w:rsidRP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C408A" w:rsidRP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kihirdetése a mai napon a Polgármesteri Hivatal hirdetőtábláján való kifüggesztéssel megtörtént.</w:t>
      </w:r>
    </w:p>
    <w:p w:rsidR="00CC408A" w:rsidRP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C408A" w:rsidRP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Tiszakécske, 2020. június 29.</w:t>
      </w:r>
    </w:p>
    <w:p w:rsidR="00CC408A" w:rsidRP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Gombosné dr. </w:t>
      </w:r>
      <w:proofErr w:type="spellStart"/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Lipka</w:t>
      </w:r>
      <w:proofErr w:type="spellEnd"/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Klaudia</w:t>
      </w:r>
    </w:p>
    <w:p w:rsidR="00CC408A" w:rsidRPr="00CC408A" w:rsidRDefault="00CC408A" w:rsidP="00CC4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</w:t>
      </w:r>
      <w:proofErr w:type="gramStart"/>
      <w:r w:rsidRPr="00CC4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  <w:r w:rsidRPr="00CC40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2D26" w:rsidRDefault="00F22D26"/>
    <w:sectPr w:rsidR="00F2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8EE"/>
    <w:multiLevelType w:val="hybridMultilevel"/>
    <w:tmpl w:val="5F0CC86E"/>
    <w:lvl w:ilvl="0" w:tplc="D53278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A38"/>
    <w:multiLevelType w:val="hybridMultilevel"/>
    <w:tmpl w:val="4AF4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ED4"/>
    <w:multiLevelType w:val="hybridMultilevel"/>
    <w:tmpl w:val="01848358"/>
    <w:lvl w:ilvl="0" w:tplc="450E7EEE">
      <w:start w:val="1"/>
      <w:numFmt w:val="decimal"/>
      <w:lvlText w:val="(%1)"/>
      <w:lvlJc w:val="left"/>
      <w:pPr>
        <w:ind w:left="56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20072F2"/>
    <w:multiLevelType w:val="hybridMultilevel"/>
    <w:tmpl w:val="A65223C6"/>
    <w:lvl w:ilvl="0" w:tplc="98EAF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852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6BB1"/>
    <w:multiLevelType w:val="hybridMultilevel"/>
    <w:tmpl w:val="4822C8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8A"/>
    <w:rsid w:val="00271EF5"/>
    <w:rsid w:val="0072630C"/>
    <w:rsid w:val="00AD0796"/>
    <w:rsid w:val="00CC408A"/>
    <w:rsid w:val="00F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D7BB-20ED-4128-B1E5-E3DB06A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4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0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3</cp:revision>
  <cp:lastPrinted>2020-07-02T11:28:00Z</cp:lastPrinted>
  <dcterms:created xsi:type="dcterms:W3CDTF">2020-07-02T11:58:00Z</dcterms:created>
  <dcterms:modified xsi:type="dcterms:W3CDTF">2020-07-02T13:11:00Z</dcterms:modified>
</cp:coreProperties>
</file>